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600" w:lineRule="exact"/>
        <w:jc w:val="center"/>
        <w:rPr>
          <w:rFonts w:hint="eastAsia" w:ascii="方正小标宋简体" w:hAnsi="方正小标宋简体" w:eastAsia="方正小标宋简体" w:cs="方正小标宋简体"/>
          <w:b w:val="0"/>
          <w:bCs w:val="0"/>
          <w:color w:val="000000"/>
          <w:sz w:val="40"/>
          <w:szCs w:val="40"/>
          <w:lang w:eastAsia="zh-CN"/>
        </w:rPr>
      </w:pPr>
      <w:r>
        <w:rPr>
          <w:rFonts w:hint="eastAsia" w:ascii="方正小标宋简体" w:hAnsi="方正小标宋简体" w:eastAsia="方正小标宋简体" w:cs="方正小标宋简体"/>
          <w:b w:val="0"/>
          <w:bCs w:val="0"/>
          <w:color w:val="000000"/>
          <w:sz w:val="40"/>
          <w:szCs w:val="40"/>
          <w:lang w:val="en-US" w:eastAsia="zh-CN"/>
        </w:rPr>
        <w:t>唐山市水利领域“不予</w:t>
      </w:r>
      <w:r>
        <w:rPr>
          <w:rFonts w:hint="eastAsia" w:ascii="方正小标宋简体" w:hAnsi="方正小标宋简体" w:eastAsia="方正小标宋简体" w:cs="方正小标宋简体"/>
          <w:b w:val="0"/>
          <w:bCs w:val="0"/>
          <w:color w:val="000000"/>
          <w:sz w:val="40"/>
          <w:szCs w:val="40"/>
        </w:rPr>
        <w:t>处罚</w:t>
      </w:r>
      <w:r>
        <w:rPr>
          <w:rFonts w:hint="eastAsia" w:ascii="方正小标宋简体" w:hAnsi="方正小标宋简体" w:eastAsia="方正小标宋简体" w:cs="方正小标宋简体"/>
          <w:b w:val="0"/>
          <w:bCs w:val="0"/>
          <w:color w:val="000000"/>
          <w:sz w:val="40"/>
          <w:szCs w:val="40"/>
          <w:lang w:val="en-US" w:eastAsia="zh-CN"/>
        </w:rPr>
        <w:t>”</w:t>
      </w:r>
      <w:r>
        <w:rPr>
          <w:rFonts w:hint="eastAsia" w:ascii="方正小标宋简体" w:hAnsi="方正小标宋简体" w:eastAsia="方正小标宋简体" w:cs="方正小标宋简体"/>
          <w:b w:val="0"/>
          <w:bCs w:val="0"/>
          <w:color w:val="000000"/>
          <w:sz w:val="40"/>
          <w:szCs w:val="40"/>
          <w:lang w:eastAsia="zh-CN"/>
        </w:rPr>
        <w:t>清单</w:t>
      </w: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第一部分  水资源管理类</w:t>
      </w:r>
    </w:p>
    <w:tbl>
      <w:tblPr>
        <w:tblStyle w:val="13"/>
        <w:tblW w:w="148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495"/>
        <w:gridCol w:w="1211"/>
        <w:gridCol w:w="5361"/>
        <w:gridCol w:w="1609"/>
        <w:gridCol w:w="672"/>
        <w:gridCol w:w="3287"/>
        <w:gridCol w:w="1697"/>
        <w:gridCol w:w="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67" w:hRule="atLeast"/>
          <w:tblHeader/>
          <w:jc w:val="center"/>
        </w:trPr>
        <w:tc>
          <w:tcPr>
            <w:tcW w:w="49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jc w:val="center"/>
              <w:rPr>
                <w:rFonts w:hint="eastAsia" w:ascii="黑体" w:hAnsi="黑体" w:eastAsia="黑体" w:cs="黑体"/>
                <w:sz w:val="18"/>
                <w:szCs w:val="18"/>
              </w:rPr>
            </w:pPr>
            <w:r>
              <w:rPr>
                <w:rFonts w:hint="eastAsia" w:ascii="黑体" w:hAnsi="黑体" w:eastAsia="黑体" w:cs="黑体"/>
                <w:sz w:val="18"/>
                <w:szCs w:val="18"/>
              </w:rPr>
              <w:t>序号</w:t>
            </w:r>
          </w:p>
        </w:tc>
        <w:tc>
          <w:tcPr>
            <w:tcW w:w="121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jc w:val="center"/>
              <w:rPr>
                <w:rFonts w:hint="eastAsia" w:ascii="黑体" w:hAnsi="黑体" w:eastAsia="黑体" w:cs="黑体"/>
                <w:sz w:val="18"/>
                <w:szCs w:val="18"/>
              </w:rPr>
            </w:pPr>
            <w:r>
              <w:rPr>
                <w:rFonts w:hint="eastAsia" w:ascii="黑体" w:hAnsi="黑体" w:eastAsia="黑体" w:cs="黑体"/>
                <w:sz w:val="18"/>
                <w:szCs w:val="18"/>
              </w:rPr>
              <w:t>违法行为</w:t>
            </w:r>
          </w:p>
        </w:tc>
        <w:tc>
          <w:tcPr>
            <w:tcW w:w="536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jc w:val="center"/>
              <w:rPr>
                <w:rFonts w:hint="eastAsia" w:ascii="黑体" w:hAnsi="黑体" w:eastAsia="黑体" w:cs="黑体"/>
                <w:sz w:val="18"/>
                <w:szCs w:val="18"/>
              </w:rPr>
            </w:pPr>
            <w:r>
              <w:rPr>
                <w:rFonts w:hint="eastAsia" w:ascii="黑体" w:hAnsi="黑体" w:eastAsia="黑体" w:cs="黑体"/>
                <w:sz w:val="18"/>
                <w:szCs w:val="18"/>
              </w:rPr>
              <w:t>法定依据</w:t>
            </w:r>
          </w:p>
        </w:tc>
        <w:tc>
          <w:tcPr>
            <w:tcW w:w="160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jc w:val="center"/>
              <w:rPr>
                <w:rFonts w:hint="eastAsia" w:ascii="黑体" w:hAnsi="黑体" w:eastAsia="黑体" w:cs="黑体"/>
                <w:sz w:val="18"/>
                <w:szCs w:val="18"/>
              </w:rPr>
            </w:pPr>
            <w:r>
              <w:rPr>
                <w:rFonts w:hint="eastAsia" w:ascii="黑体" w:hAnsi="黑体" w:eastAsia="黑体" w:cs="黑体"/>
                <w:sz w:val="18"/>
                <w:szCs w:val="18"/>
              </w:rPr>
              <w:t>违法情形</w:t>
            </w:r>
          </w:p>
        </w:tc>
        <w:tc>
          <w:tcPr>
            <w:tcW w:w="67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jc w:val="center"/>
              <w:rPr>
                <w:rFonts w:hint="eastAsia" w:ascii="黑体" w:hAnsi="黑体" w:eastAsia="黑体" w:cs="黑体"/>
                <w:sz w:val="18"/>
                <w:szCs w:val="18"/>
              </w:rPr>
            </w:pPr>
            <w:r>
              <w:rPr>
                <w:rFonts w:hint="eastAsia" w:ascii="黑体" w:hAnsi="黑体" w:eastAsia="黑体" w:cs="黑体"/>
                <w:sz w:val="18"/>
                <w:szCs w:val="18"/>
              </w:rPr>
              <w:t>裁量</w:t>
            </w:r>
          </w:p>
          <w:p>
            <w:pPr>
              <w:spacing w:line="260" w:lineRule="exact"/>
              <w:jc w:val="center"/>
              <w:rPr>
                <w:rFonts w:hint="eastAsia" w:ascii="黑体" w:hAnsi="黑体" w:eastAsia="黑体" w:cs="黑体"/>
                <w:sz w:val="18"/>
                <w:szCs w:val="18"/>
              </w:rPr>
            </w:pPr>
            <w:r>
              <w:rPr>
                <w:rFonts w:hint="eastAsia" w:ascii="黑体" w:hAnsi="黑体" w:eastAsia="黑体" w:cs="黑体"/>
                <w:sz w:val="18"/>
                <w:szCs w:val="18"/>
              </w:rPr>
              <w:t>幅度</w:t>
            </w:r>
          </w:p>
        </w:tc>
        <w:tc>
          <w:tcPr>
            <w:tcW w:w="328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jc w:val="center"/>
              <w:rPr>
                <w:rFonts w:hint="eastAsia" w:ascii="黑体" w:hAnsi="黑体" w:eastAsia="黑体" w:cs="黑体"/>
                <w:sz w:val="18"/>
                <w:szCs w:val="18"/>
              </w:rPr>
            </w:pPr>
            <w:r>
              <w:rPr>
                <w:rFonts w:hint="eastAsia" w:ascii="黑体" w:hAnsi="黑体" w:eastAsia="黑体" w:cs="黑体"/>
                <w:sz w:val="18"/>
                <w:szCs w:val="18"/>
              </w:rPr>
              <w:t>适用条件</w:t>
            </w:r>
          </w:p>
        </w:tc>
        <w:tc>
          <w:tcPr>
            <w:tcW w:w="169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jc w:val="center"/>
              <w:rPr>
                <w:rFonts w:hint="eastAsia" w:ascii="黑体" w:hAnsi="黑体" w:eastAsia="黑体" w:cs="黑体"/>
                <w:sz w:val="18"/>
                <w:szCs w:val="18"/>
              </w:rPr>
            </w:pPr>
            <w:r>
              <w:rPr>
                <w:rFonts w:hint="eastAsia" w:ascii="黑体" w:hAnsi="黑体" w:eastAsia="黑体" w:cs="黑体"/>
                <w:sz w:val="18"/>
                <w:szCs w:val="18"/>
              </w:rPr>
              <w:t>裁量基准</w:t>
            </w:r>
          </w:p>
        </w:tc>
        <w:tc>
          <w:tcPr>
            <w:tcW w:w="56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2281" w:hRule="atLeast"/>
          <w:jc w:val="center"/>
        </w:trPr>
        <w:tc>
          <w:tcPr>
            <w:tcW w:w="495" w:type="dxa"/>
            <w:vMerge w:val="restart"/>
            <w:tcBorders>
              <w:top w:val="single" w:color="auto" w:sz="4" w:space="0"/>
              <w:left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1</w:t>
            </w:r>
          </w:p>
        </w:tc>
        <w:tc>
          <w:tcPr>
            <w:tcW w:w="1211" w:type="dxa"/>
            <w:vMerge w:val="restart"/>
            <w:tcBorders>
              <w:top w:val="single" w:color="auto" w:sz="4" w:space="0"/>
              <w:left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rPr>
                <w:rFonts w:hint="eastAsia" w:ascii="宋体" w:hAnsi="宋体" w:eastAsia="宋体" w:cs="宋体"/>
                <w:sz w:val="18"/>
                <w:szCs w:val="18"/>
              </w:rPr>
            </w:pPr>
            <w:r>
              <w:rPr>
                <w:rFonts w:hint="eastAsia" w:ascii="宋体" w:hAnsi="宋体" w:eastAsia="宋体" w:cs="宋体"/>
                <w:sz w:val="18"/>
                <w:szCs w:val="18"/>
              </w:rPr>
              <w:t>对未经批准擅自取水、未依照批准的取水许可规定条件取水行为的行政处罚</w:t>
            </w:r>
          </w:p>
        </w:tc>
        <w:tc>
          <w:tcPr>
            <w:tcW w:w="5361" w:type="dxa"/>
            <w:vMerge w:val="restart"/>
            <w:tcBorders>
              <w:top w:val="single" w:color="auto" w:sz="4" w:space="0"/>
              <w:left w:val="single" w:color="auto" w:sz="4" w:space="0"/>
              <w:right w:val="single" w:color="auto" w:sz="4" w:space="0"/>
            </w:tcBorders>
            <w:shd w:val="clear" w:color="auto" w:fill="FFFFFF"/>
            <w:noWrap w:val="0"/>
            <w:tcMar>
              <w:top w:w="0" w:type="dxa"/>
              <w:left w:w="0" w:type="dxa"/>
              <w:bottom w:w="0" w:type="dxa"/>
              <w:right w:w="0" w:type="dxa"/>
            </w:tcMar>
            <w:vAlign w:val="center"/>
          </w:tcPr>
          <w:p>
            <w:pPr>
              <w:widowControl/>
              <w:spacing w:line="240" w:lineRule="exact"/>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《中华人民共和国水法》第六十九条 有下列行为之一的，由县级以上人民政府水行政主管部门或者流域管理机构依据职权，责令停止违法行为，限期采取补救措施，处二万元以上十万元以下的罚款；情节严重的，吊销其取水许可证：</w:t>
            </w:r>
          </w:p>
          <w:p>
            <w:pPr>
              <w:widowControl/>
              <w:spacing w:line="240" w:lineRule="exact"/>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（一）未经批准擅自取水的；</w:t>
            </w:r>
          </w:p>
          <w:p>
            <w:pPr>
              <w:widowControl/>
              <w:spacing w:line="240" w:lineRule="exact"/>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（二）未依照批准的取水许可规定条件取水的。</w:t>
            </w:r>
          </w:p>
          <w:p>
            <w:pPr>
              <w:widowControl/>
              <w:spacing w:line="240" w:lineRule="exact"/>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《取水许可和水资源费征收管理条例》第四十八条 未经批准擅自取水，或者未依照批准的取水许可规定条件取水的，依照《中华人民共和国水法》第六十九条规定处罚；给他人造成妨碍或者损失的，应当排除妨碍、赔偿损失。</w:t>
            </w:r>
          </w:p>
          <w:p>
            <w:pPr>
              <w:widowControl/>
              <w:spacing w:line="240" w:lineRule="exact"/>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《取水许可和水资源费征收管理条例》第二十四条 取水许可证应当包括下列内容：</w:t>
            </w:r>
          </w:p>
          <w:p>
            <w:pPr>
              <w:widowControl/>
              <w:spacing w:line="240" w:lineRule="exact"/>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（一）取水单位或者个人的名称（姓名）；</w:t>
            </w:r>
          </w:p>
          <w:p>
            <w:pPr>
              <w:widowControl/>
              <w:spacing w:line="240" w:lineRule="exact"/>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（二）取水期限；</w:t>
            </w:r>
          </w:p>
          <w:p>
            <w:pPr>
              <w:widowControl/>
              <w:spacing w:line="240" w:lineRule="exact"/>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（三）取水量和取水用途；</w:t>
            </w:r>
          </w:p>
          <w:p>
            <w:pPr>
              <w:widowControl/>
              <w:spacing w:line="240" w:lineRule="exact"/>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（四）水源类型；</w:t>
            </w:r>
          </w:p>
          <w:p>
            <w:pPr>
              <w:widowControl/>
              <w:spacing w:line="240" w:lineRule="exact"/>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（五）取水、退水地点及退水方式、退水量。</w:t>
            </w:r>
          </w:p>
          <w:p>
            <w:pPr>
              <w:spacing w:line="240" w:lineRule="exact"/>
              <w:ind w:firstLine="360" w:firstLineChars="200"/>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前款第（三）项规定的取水量是在江河、湖泊、地下水多年平均水量情况下允许的取水单位或者个人的最大取水量。取水许可证由国务院水行政主管部门统一制作，审批机关核发取水许可证只能收取工本费。</w:t>
            </w:r>
          </w:p>
          <w:p>
            <w:pPr>
              <w:spacing w:line="240" w:lineRule="exact"/>
              <w:ind w:firstLine="360" w:firstLineChars="200"/>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《河北省小水电站生态流量监督管理办法》（试行）第三十条  市县水行政主管部门和生态环境主管部门要严格取水许可监管和建设项目环评审批，将小水电站按要求泄放生态流量作为取水许可审批和监管、项目环评审批和流域水环境保护监管的重要内容，确保小水电站持续将生态流量落实到位。对未安装计量设施，计量设施不合格或者运行不正常行为的行政处罚</w:t>
            </w:r>
          </w:p>
        </w:tc>
        <w:tc>
          <w:tcPr>
            <w:tcW w:w="1609" w:type="dxa"/>
            <w:tcBorders>
              <w:top w:val="single" w:color="auto" w:sz="4" w:space="0"/>
              <w:left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rPr>
                <w:rStyle w:val="21"/>
                <w:rFonts w:hint="eastAsia" w:ascii="宋体" w:hAnsi="宋体" w:eastAsia="宋体" w:cs="宋体"/>
                <w:sz w:val="18"/>
                <w:szCs w:val="18"/>
                <w:lang w:bidi="ar"/>
              </w:rPr>
            </w:pPr>
            <w:r>
              <w:rPr>
                <w:rStyle w:val="21"/>
                <w:rFonts w:hint="eastAsia" w:ascii="宋体" w:hAnsi="宋体" w:eastAsia="宋体" w:cs="宋体"/>
                <w:sz w:val="18"/>
                <w:szCs w:val="18"/>
                <w:lang w:bidi="ar"/>
              </w:rPr>
              <w:t>未经批准擅自取水</w:t>
            </w:r>
          </w:p>
        </w:tc>
        <w:tc>
          <w:tcPr>
            <w:tcW w:w="67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轻微</w:t>
            </w:r>
          </w:p>
        </w:tc>
        <w:tc>
          <w:tcPr>
            <w:tcW w:w="328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40" w:lineRule="exact"/>
              <w:rPr>
                <w:rStyle w:val="21"/>
                <w:rFonts w:hint="eastAsia" w:ascii="宋体" w:hAnsi="宋体" w:eastAsia="宋体" w:cs="宋体"/>
                <w:sz w:val="18"/>
                <w:szCs w:val="18"/>
                <w:lang w:bidi="ar"/>
              </w:rPr>
            </w:pPr>
            <w:r>
              <w:rPr>
                <w:rStyle w:val="21"/>
                <w:rFonts w:hint="eastAsia" w:ascii="宋体" w:hAnsi="宋体" w:eastAsia="宋体" w:cs="宋体"/>
                <w:sz w:val="18"/>
                <w:szCs w:val="18"/>
                <w:lang w:bidi="ar"/>
              </w:rPr>
              <w:t>1.初次违法；</w:t>
            </w:r>
          </w:p>
          <w:p>
            <w:pPr>
              <w:spacing w:line="240" w:lineRule="exact"/>
              <w:rPr>
                <w:rStyle w:val="21"/>
                <w:rFonts w:hint="eastAsia" w:ascii="宋体" w:hAnsi="宋体" w:eastAsia="宋体" w:cs="宋体"/>
                <w:sz w:val="18"/>
                <w:szCs w:val="18"/>
                <w:lang w:bidi="ar"/>
              </w:rPr>
            </w:pPr>
            <w:r>
              <w:rPr>
                <w:rStyle w:val="21"/>
                <w:rFonts w:hint="eastAsia" w:ascii="宋体" w:hAnsi="宋体" w:eastAsia="宋体" w:cs="宋体"/>
                <w:sz w:val="18"/>
                <w:szCs w:val="18"/>
                <w:lang w:bidi="ar"/>
              </w:rPr>
              <w:t>2.</w:t>
            </w:r>
            <w:r>
              <w:rPr>
                <w:rStyle w:val="21"/>
                <w:rFonts w:hint="eastAsia" w:ascii="宋体" w:hAnsi="宋体" w:eastAsia="宋体" w:cs="宋体"/>
                <w:sz w:val="18"/>
                <w:szCs w:val="18"/>
                <w:lang w:val="en-US" w:eastAsia="zh-CN" w:bidi="ar"/>
              </w:rPr>
              <w:t>立即</w:t>
            </w:r>
            <w:r>
              <w:rPr>
                <w:rStyle w:val="21"/>
                <w:rFonts w:hint="eastAsia" w:ascii="宋体" w:hAnsi="宋体" w:eastAsia="宋体" w:cs="宋体"/>
                <w:sz w:val="18"/>
                <w:szCs w:val="18"/>
                <w:lang w:bidi="ar"/>
              </w:rPr>
              <w:t>停止违法行为，签署承诺书保证不再违反同类规定，限期采取补救措施；</w:t>
            </w:r>
          </w:p>
          <w:p>
            <w:pPr>
              <w:spacing w:line="240" w:lineRule="exact"/>
              <w:rPr>
                <w:rStyle w:val="21"/>
                <w:rFonts w:hint="eastAsia" w:ascii="宋体" w:hAnsi="宋体" w:eastAsia="宋体" w:cs="宋体"/>
                <w:sz w:val="18"/>
                <w:szCs w:val="18"/>
                <w:lang w:bidi="ar"/>
              </w:rPr>
            </w:pPr>
            <w:r>
              <w:rPr>
                <w:rStyle w:val="21"/>
                <w:rFonts w:hint="eastAsia" w:ascii="宋体" w:hAnsi="宋体" w:eastAsia="宋体" w:cs="宋体"/>
                <w:sz w:val="18"/>
                <w:szCs w:val="18"/>
                <w:lang w:bidi="ar"/>
              </w:rPr>
              <w:t>3.未经批准擅自取地表水</w:t>
            </w:r>
            <w:r>
              <w:rPr>
                <w:rStyle w:val="21"/>
                <w:rFonts w:hint="eastAsia" w:ascii="宋体" w:hAnsi="宋体" w:eastAsia="宋体" w:cs="宋体"/>
                <w:sz w:val="18"/>
                <w:szCs w:val="18"/>
                <w:lang w:eastAsia="zh-CN" w:bidi="ar"/>
              </w:rPr>
              <w:t>日</w:t>
            </w:r>
            <w:r>
              <w:rPr>
                <w:rStyle w:val="21"/>
                <w:rFonts w:hint="eastAsia" w:ascii="宋体" w:hAnsi="宋体" w:eastAsia="宋体" w:cs="宋体"/>
                <w:sz w:val="18"/>
                <w:szCs w:val="18"/>
                <w:lang w:bidi="ar"/>
              </w:rPr>
              <w:t>均</w:t>
            </w:r>
            <w:r>
              <w:rPr>
                <w:rStyle w:val="21"/>
                <w:rFonts w:hint="eastAsia" w:ascii="宋体" w:hAnsi="宋体" w:eastAsia="宋体" w:cs="宋体"/>
                <w:sz w:val="18"/>
                <w:szCs w:val="18"/>
                <w:lang w:val="en-US" w:eastAsia="zh-CN" w:bidi="ar"/>
              </w:rPr>
              <w:t>100</w:t>
            </w:r>
            <w:r>
              <w:rPr>
                <w:rStyle w:val="21"/>
                <w:rFonts w:hint="eastAsia" w:ascii="宋体" w:hAnsi="宋体" w:eastAsia="宋体" w:cs="宋体"/>
                <w:sz w:val="18"/>
                <w:szCs w:val="18"/>
                <w:lang w:bidi="ar"/>
              </w:rPr>
              <w:t>立方米</w:t>
            </w:r>
            <w:r>
              <w:rPr>
                <w:rStyle w:val="21"/>
                <w:rFonts w:hint="eastAsia" w:ascii="宋体" w:hAnsi="宋体" w:eastAsia="宋体" w:cs="宋体"/>
                <w:sz w:val="18"/>
                <w:szCs w:val="18"/>
                <w:lang w:val="en-US" w:eastAsia="zh-CN" w:bidi="ar"/>
              </w:rPr>
              <w:t>以下</w:t>
            </w:r>
            <w:r>
              <w:rPr>
                <w:rStyle w:val="21"/>
                <w:rFonts w:hint="eastAsia" w:ascii="宋体" w:hAnsi="宋体" w:eastAsia="宋体" w:cs="宋体"/>
                <w:sz w:val="18"/>
                <w:szCs w:val="18"/>
                <w:lang w:bidi="ar"/>
              </w:rPr>
              <w:t>或者取地下水</w:t>
            </w:r>
            <w:r>
              <w:rPr>
                <w:rStyle w:val="21"/>
                <w:rFonts w:hint="eastAsia" w:ascii="宋体" w:hAnsi="宋体" w:eastAsia="宋体" w:cs="宋体"/>
                <w:sz w:val="18"/>
                <w:szCs w:val="18"/>
                <w:lang w:eastAsia="zh-CN" w:bidi="ar"/>
              </w:rPr>
              <w:t>日</w:t>
            </w:r>
            <w:r>
              <w:rPr>
                <w:rStyle w:val="21"/>
                <w:rFonts w:hint="eastAsia" w:ascii="宋体" w:hAnsi="宋体" w:eastAsia="宋体" w:cs="宋体"/>
                <w:sz w:val="18"/>
                <w:szCs w:val="18"/>
                <w:lang w:bidi="ar"/>
              </w:rPr>
              <w:t>均</w:t>
            </w:r>
            <w:r>
              <w:rPr>
                <w:rStyle w:val="21"/>
                <w:rFonts w:hint="eastAsia" w:ascii="宋体" w:hAnsi="宋体" w:eastAsia="宋体" w:cs="宋体"/>
                <w:sz w:val="18"/>
                <w:szCs w:val="18"/>
                <w:lang w:val="en-US" w:eastAsia="zh-CN" w:bidi="ar"/>
              </w:rPr>
              <w:t>10</w:t>
            </w:r>
            <w:r>
              <w:rPr>
                <w:rStyle w:val="21"/>
                <w:rFonts w:hint="eastAsia" w:ascii="宋体" w:hAnsi="宋体" w:eastAsia="宋体" w:cs="宋体"/>
                <w:sz w:val="18"/>
                <w:szCs w:val="18"/>
                <w:lang w:bidi="ar"/>
              </w:rPr>
              <w:t>立方米</w:t>
            </w:r>
            <w:r>
              <w:rPr>
                <w:rStyle w:val="21"/>
                <w:rFonts w:hint="eastAsia" w:ascii="宋体" w:hAnsi="宋体" w:eastAsia="宋体" w:cs="宋体"/>
                <w:sz w:val="18"/>
                <w:szCs w:val="18"/>
                <w:lang w:val="en-US" w:eastAsia="zh-CN" w:bidi="ar"/>
              </w:rPr>
              <w:t>以下</w:t>
            </w:r>
            <w:r>
              <w:rPr>
                <w:rStyle w:val="21"/>
                <w:rFonts w:hint="eastAsia" w:ascii="宋体" w:hAnsi="宋体" w:eastAsia="宋体" w:cs="宋体"/>
                <w:sz w:val="18"/>
                <w:szCs w:val="18"/>
                <w:lang w:bidi="ar"/>
              </w:rPr>
              <w:t>的</w:t>
            </w:r>
          </w:p>
          <w:p>
            <w:pPr>
              <w:pStyle w:val="2"/>
              <w:spacing w:line="240" w:lineRule="exact"/>
              <w:rPr>
                <w:rFonts w:hint="eastAsia" w:ascii="宋体" w:hAnsi="宋体" w:eastAsia="宋体" w:cs="宋体"/>
                <w:sz w:val="18"/>
                <w:szCs w:val="18"/>
                <w:lang w:val="en-US" w:eastAsia="zh-CN"/>
              </w:rPr>
            </w:pPr>
            <w:r>
              <w:rPr>
                <w:rStyle w:val="21"/>
                <w:rFonts w:hint="eastAsia" w:ascii="宋体" w:hAnsi="宋体" w:eastAsia="宋体" w:cs="宋体"/>
                <w:sz w:val="18"/>
                <w:szCs w:val="18"/>
                <w:lang w:val="en-US" w:eastAsia="zh-CN" w:bidi="ar"/>
              </w:rPr>
              <w:t>（注：符合上述所有情形的，不予处罚，应将本次违法情况进行登记备案，以后再发生类似问题的将不再适用本条件）</w:t>
            </w:r>
          </w:p>
        </w:tc>
        <w:tc>
          <w:tcPr>
            <w:tcW w:w="169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40" w:lineRule="exact"/>
              <w:rPr>
                <w:rStyle w:val="21"/>
                <w:rFonts w:hint="eastAsia" w:ascii="宋体" w:hAnsi="宋体" w:eastAsia="宋体" w:cs="宋体"/>
                <w:sz w:val="18"/>
                <w:szCs w:val="18"/>
                <w:lang w:bidi="ar"/>
              </w:rPr>
            </w:pPr>
            <w:r>
              <w:rPr>
                <w:rStyle w:val="21"/>
                <w:rFonts w:hint="eastAsia" w:ascii="宋体" w:hAnsi="宋体" w:eastAsia="宋体" w:cs="宋体"/>
                <w:sz w:val="18"/>
                <w:szCs w:val="18"/>
                <w:lang w:bidi="ar"/>
              </w:rPr>
              <w:t>不予处罚</w:t>
            </w:r>
          </w:p>
        </w:tc>
        <w:tc>
          <w:tcPr>
            <w:tcW w:w="563" w:type="dxa"/>
            <w:vMerge w:val="restart"/>
            <w:tcBorders>
              <w:top w:val="single" w:color="auto" w:sz="4" w:space="0"/>
              <w:left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rPr>
                <w:rStyle w:val="21"/>
                <w:rFonts w:hint="eastAsia" w:ascii="宋体" w:hAnsi="宋体" w:eastAsia="宋体" w:cs="宋体"/>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2050" w:hRule="atLeast"/>
          <w:jc w:val="center"/>
        </w:trPr>
        <w:tc>
          <w:tcPr>
            <w:tcW w:w="495" w:type="dxa"/>
            <w:vMerge w:val="continue"/>
            <w:tcBorders>
              <w:left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jc w:val="center"/>
              <w:rPr>
                <w:rFonts w:hint="eastAsia" w:ascii="宋体" w:hAnsi="宋体" w:eastAsia="宋体" w:cs="宋体"/>
                <w:sz w:val="18"/>
                <w:szCs w:val="18"/>
              </w:rPr>
            </w:pPr>
          </w:p>
        </w:tc>
        <w:tc>
          <w:tcPr>
            <w:tcW w:w="1211" w:type="dxa"/>
            <w:vMerge w:val="continue"/>
            <w:tcBorders>
              <w:left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rPr>
                <w:rFonts w:hint="eastAsia" w:ascii="宋体" w:hAnsi="宋体" w:eastAsia="宋体" w:cs="宋体"/>
                <w:sz w:val="18"/>
                <w:szCs w:val="18"/>
              </w:rPr>
            </w:pPr>
          </w:p>
        </w:tc>
        <w:tc>
          <w:tcPr>
            <w:tcW w:w="5361" w:type="dxa"/>
            <w:vMerge w:val="continue"/>
            <w:tcBorders>
              <w:left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ind w:firstLine="360" w:firstLineChars="200"/>
              <w:rPr>
                <w:rFonts w:hint="eastAsia" w:ascii="宋体" w:hAnsi="宋体" w:eastAsia="宋体" w:cs="宋体"/>
                <w:sz w:val="18"/>
                <w:szCs w:val="18"/>
              </w:rPr>
            </w:pPr>
          </w:p>
        </w:tc>
        <w:tc>
          <w:tcPr>
            <w:tcW w:w="1609" w:type="dxa"/>
            <w:tcBorders>
              <w:left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rPr>
                <w:rFonts w:hint="eastAsia" w:ascii="宋体" w:hAnsi="宋体" w:eastAsia="宋体" w:cs="宋体"/>
                <w:sz w:val="18"/>
                <w:szCs w:val="18"/>
              </w:rPr>
            </w:pPr>
            <w:r>
              <w:rPr>
                <w:rStyle w:val="21"/>
                <w:rFonts w:hint="eastAsia" w:ascii="宋体" w:hAnsi="宋体" w:eastAsia="宋体" w:cs="宋体"/>
                <w:sz w:val="18"/>
                <w:szCs w:val="18"/>
                <w:lang w:bidi="ar"/>
              </w:rPr>
              <w:t>超许可取水量取水的</w:t>
            </w:r>
          </w:p>
        </w:tc>
        <w:tc>
          <w:tcPr>
            <w:tcW w:w="67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轻微</w:t>
            </w:r>
          </w:p>
        </w:tc>
        <w:tc>
          <w:tcPr>
            <w:tcW w:w="328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20" w:lineRule="exact"/>
              <w:rPr>
                <w:rStyle w:val="21"/>
                <w:rFonts w:hint="eastAsia" w:ascii="宋体" w:hAnsi="宋体" w:eastAsia="宋体" w:cs="宋体"/>
                <w:sz w:val="18"/>
                <w:szCs w:val="18"/>
                <w:lang w:bidi="ar"/>
              </w:rPr>
            </w:pPr>
            <w:r>
              <w:rPr>
                <w:rStyle w:val="21"/>
                <w:rFonts w:hint="eastAsia" w:ascii="宋体" w:hAnsi="宋体" w:eastAsia="宋体" w:cs="宋体"/>
                <w:sz w:val="18"/>
                <w:szCs w:val="18"/>
                <w:lang w:bidi="ar"/>
              </w:rPr>
              <w:t>1.初次违法；</w:t>
            </w:r>
          </w:p>
          <w:p>
            <w:pPr>
              <w:spacing w:line="220" w:lineRule="exact"/>
              <w:rPr>
                <w:rStyle w:val="21"/>
                <w:rFonts w:hint="eastAsia" w:ascii="宋体" w:hAnsi="宋体" w:eastAsia="宋体" w:cs="宋体"/>
                <w:sz w:val="18"/>
                <w:szCs w:val="18"/>
                <w:lang w:bidi="ar"/>
              </w:rPr>
            </w:pPr>
            <w:r>
              <w:rPr>
                <w:rStyle w:val="21"/>
                <w:rFonts w:hint="eastAsia" w:ascii="宋体" w:hAnsi="宋体" w:eastAsia="宋体" w:cs="宋体"/>
                <w:sz w:val="18"/>
                <w:szCs w:val="18"/>
                <w:lang w:bidi="ar"/>
              </w:rPr>
              <w:t>2.</w:t>
            </w:r>
            <w:r>
              <w:rPr>
                <w:rStyle w:val="21"/>
                <w:rFonts w:hint="eastAsia" w:ascii="宋体" w:hAnsi="宋体" w:eastAsia="宋体" w:cs="宋体"/>
                <w:sz w:val="18"/>
                <w:szCs w:val="18"/>
                <w:lang w:val="en-US" w:eastAsia="zh-CN" w:bidi="ar"/>
              </w:rPr>
              <w:t>立即</w:t>
            </w:r>
            <w:r>
              <w:rPr>
                <w:rStyle w:val="21"/>
                <w:rFonts w:hint="eastAsia" w:ascii="宋体" w:hAnsi="宋体" w:eastAsia="宋体" w:cs="宋体"/>
                <w:sz w:val="18"/>
                <w:szCs w:val="18"/>
                <w:lang w:bidi="ar"/>
              </w:rPr>
              <w:t>停止违法行为，签署承诺书保证不再违反同类规定，限期采取补救措施；</w:t>
            </w:r>
          </w:p>
          <w:p>
            <w:pPr>
              <w:spacing w:line="220" w:lineRule="exact"/>
              <w:rPr>
                <w:rStyle w:val="21"/>
                <w:rFonts w:hint="eastAsia" w:ascii="宋体" w:hAnsi="宋体" w:eastAsia="宋体" w:cs="宋体"/>
                <w:sz w:val="18"/>
                <w:szCs w:val="18"/>
                <w:lang w:bidi="ar"/>
              </w:rPr>
            </w:pPr>
            <w:r>
              <w:rPr>
                <w:rStyle w:val="21"/>
                <w:rFonts w:hint="eastAsia" w:ascii="宋体" w:hAnsi="宋体" w:eastAsia="宋体" w:cs="宋体"/>
                <w:sz w:val="18"/>
                <w:szCs w:val="18"/>
                <w:lang w:bidi="ar"/>
              </w:rPr>
              <w:t>3.超许可水量取水且超出部分小于许可水量10%或1000立方米的</w:t>
            </w:r>
          </w:p>
          <w:p>
            <w:pPr>
              <w:pStyle w:val="2"/>
              <w:spacing w:line="220" w:lineRule="exact"/>
              <w:rPr>
                <w:rStyle w:val="21"/>
                <w:rFonts w:hint="eastAsia" w:ascii="宋体" w:hAnsi="宋体" w:eastAsia="宋体" w:cs="宋体"/>
                <w:sz w:val="18"/>
                <w:szCs w:val="18"/>
                <w:lang w:bidi="ar"/>
              </w:rPr>
            </w:pPr>
            <w:r>
              <w:rPr>
                <w:rStyle w:val="21"/>
                <w:rFonts w:hint="eastAsia" w:ascii="宋体" w:hAnsi="宋体" w:eastAsia="宋体" w:cs="宋体"/>
                <w:sz w:val="18"/>
                <w:szCs w:val="18"/>
                <w:lang w:val="en-US" w:eastAsia="zh-CN" w:bidi="ar"/>
              </w:rPr>
              <w:t>（注：符合上述所有情形的，不予处罚，应将本次违法情况进行登记备案，以后再发生类似问题的将不再适用本条件）</w:t>
            </w:r>
          </w:p>
        </w:tc>
        <w:tc>
          <w:tcPr>
            <w:tcW w:w="169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20" w:lineRule="exact"/>
              <w:rPr>
                <w:rStyle w:val="21"/>
                <w:rFonts w:hint="eastAsia" w:ascii="宋体" w:hAnsi="宋体" w:eastAsia="宋体" w:cs="宋体"/>
                <w:sz w:val="18"/>
                <w:szCs w:val="18"/>
                <w:lang w:bidi="ar"/>
              </w:rPr>
            </w:pPr>
            <w:r>
              <w:rPr>
                <w:rStyle w:val="21"/>
                <w:rFonts w:hint="eastAsia" w:ascii="宋体" w:hAnsi="宋体" w:eastAsia="宋体" w:cs="宋体"/>
                <w:sz w:val="18"/>
                <w:szCs w:val="18"/>
                <w:lang w:bidi="ar"/>
              </w:rPr>
              <w:t>不予处罚</w:t>
            </w:r>
          </w:p>
        </w:tc>
        <w:tc>
          <w:tcPr>
            <w:tcW w:w="563" w:type="dxa"/>
            <w:vMerge w:val="continue"/>
            <w:tcBorders>
              <w:left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rPr>
                <w:rStyle w:val="21"/>
                <w:rFonts w:hint="eastAsia" w:ascii="宋体" w:hAnsi="宋体" w:eastAsia="宋体" w:cs="宋体"/>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2550" w:hRule="atLeast"/>
          <w:jc w:val="center"/>
        </w:trPr>
        <w:tc>
          <w:tcPr>
            <w:tcW w:w="495" w:type="dxa"/>
            <w:vMerge w:val="continue"/>
            <w:tcBorders>
              <w:left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jc w:val="center"/>
              <w:rPr>
                <w:rFonts w:hint="eastAsia" w:ascii="宋体" w:hAnsi="宋体" w:eastAsia="宋体" w:cs="宋体"/>
                <w:sz w:val="18"/>
                <w:szCs w:val="18"/>
              </w:rPr>
            </w:pPr>
          </w:p>
        </w:tc>
        <w:tc>
          <w:tcPr>
            <w:tcW w:w="1211" w:type="dxa"/>
            <w:vMerge w:val="continue"/>
            <w:tcBorders>
              <w:left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rPr>
                <w:rFonts w:hint="eastAsia" w:ascii="宋体" w:hAnsi="宋体" w:eastAsia="宋体" w:cs="宋体"/>
                <w:sz w:val="18"/>
                <w:szCs w:val="18"/>
              </w:rPr>
            </w:pPr>
          </w:p>
        </w:tc>
        <w:tc>
          <w:tcPr>
            <w:tcW w:w="5361" w:type="dxa"/>
            <w:vMerge w:val="continue"/>
            <w:tcBorders>
              <w:left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rPr>
                <w:rFonts w:hint="eastAsia" w:ascii="宋体" w:hAnsi="宋体" w:eastAsia="宋体" w:cs="宋体"/>
                <w:sz w:val="18"/>
                <w:szCs w:val="18"/>
              </w:rPr>
            </w:pPr>
          </w:p>
        </w:tc>
        <w:tc>
          <w:tcPr>
            <w:tcW w:w="1609" w:type="dxa"/>
            <w:tcBorders>
              <w:left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rPr>
                <w:rFonts w:hint="eastAsia" w:ascii="宋体" w:hAnsi="宋体" w:eastAsia="宋体" w:cs="宋体"/>
                <w:sz w:val="18"/>
                <w:szCs w:val="18"/>
              </w:rPr>
            </w:pPr>
            <w:r>
              <w:rPr>
                <w:rFonts w:hint="eastAsia" w:ascii="宋体" w:hAnsi="宋体" w:eastAsia="宋体" w:cs="宋体"/>
                <w:color w:val="000000"/>
                <w:kern w:val="0"/>
                <w:sz w:val="18"/>
                <w:szCs w:val="18"/>
                <w:lang w:bidi="ar"/>
              </w:rPr>
              <w:t>未按取水许可批准的取水期限、取水用途、水源类型、取水、退水地点、退水方式、退水量的</w:t>
            </w:r>
          </w:p>
        </w:tc>
        <w:tc>
          <w:tcPr>
            <w:tcW w:w="67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轻微</w:t>
            </w:r>
          </w:p>
        </w:tc>
        <w:tc>
          <w:tcPr>
            <w:tcW w:w="328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40" w:lineRule="exact"/>
              <w:rPr>
                <w:rStyle w:val="21"/>
                <w:rFonts w:hint="eastAsia" w:ascii="宋体" w:hAnsi="宋体" w:eastAsia="宋体" w:cs="宋体"/>
                <w:sz w:val="18"/>
                <w:szCs w:val="18"/>
                <w:lang w:bidi="ar"/>
              </w:rPr>
            </w:pPr>
            <w:r>
              <w:rPr>
                <w:rStyle w:val="21"/>
                <w:rFonts w:hint="eastAsia" w:ascii="宋体" w:hAnsi="宋体" w:eastAsia="宋体" w:cs="宋体"/>
                <w:sz w:val="18"/>
                <w:szCs w:val="18"/>
                <w:lang w:bidi="ar"/>
              </w:rPr>
              <w:t>1.初次违法；</w:t>
            </w:r>
          </w:p>
          <w:p>
            <w:pPr>
              <w:spacing w:line="240" w:lineRule="exact"/>
              <w:rPr>
                <w:rStyle w:val="21"/>
                <w:rFonts w:hint="eastAsia" w:ascii="宋体" w:hAnsi="宋体" w:eastAsia="宋体" w:cs="宋体"/>
                <w:sz w:val="18"/>
                <w:szCs w:val="18"/>
                <w:lang w:bidi="ar"/>
              </w:rPr>
            </w:pPr>
            <w:r>
              <w:rPr>
                <w:rStyle w:val="21"/>
                <w:rFonts w:hint="eastAsia" w:ascii="宋体" w:hAnsi="宋体" w:eastAsia="宋体" w:cs="宋体"/>
                <w:sz w:val="18"/>
                <w:szCs w:val="18"/>
                <w:lang w:bidi="ar"/>
              </w:rPr>
              <w:t>2.</w:t>
            </w:r>
            <w:r>
              <w:rPr>
                <w:rStyle w:val="21"/>
                <w:rFonts w:hint="eastAsia" w:ascii="宋体" w:hAnsi="宋体" w:eastAsia="宋体" w:cs="宋体"/>
                <w:sz w:val="18"/>
                <w:szCs w:val="18"/>
                <w:lang w:val="en-US" w:eastAsia="zh-CN" w:bidi="ar"/>
              </w:rPr>
              <w:t>立即</w:t>
            </w:r>
            <w:r>
              <w:rPr>
                <w:rStyle w:val="21"/>
                <w:rFonts w:hint="eastAsia" w:ascii="宋体" w:hAnsi="宋体" w:eastAsia="宋体" w:cs="宋体"/>
                <w:sz w:val="18"/>
                <w:szCs w:val="18"/>
                <w:lang w:bidi="ar"/>
              </w:rPr>
              <w:t>停止违法行为，签署承诺书保证不再违反同类规定，限期采取补救措施；</w:t>
            </w:r>
          </w:p>
          <w:p>
            <w:pPr>
              <w:spacing w:line="240" w:lineRule="exact"/>
              <w:rPr>
                <w:rStyle w:val="21"/>
                <w:rFonts w:hint="eastAsia" w:ascii="宋体" w:hAnsi="宋体" w:eastAsia="宋体" w:cs="宋体"/>
                <w:sz w:val="18"/>
                <w:szCs w:val="18"/>
                <w:lang w:bidi="ar"/>
              </w:rPr>
            </w:pPr>
            <w:r>
              <w:rPr>
                <w:rStyle w:val="21"/>
                <w:rFonts w:hint="eastAsia" w:ascii="宋体" w:hAnsi="宋体" w:eastAsia="宋体" w:cs="宋体"/>
                <w:sz w:val="18"/>
                <w:szCs w:val="18"/>
                <w:lang w:bidi="ar"/>
              </w:rPr>
              <w:t>3.取水许可证逾期后的30</w:t>
            </w:r>
            <w:r>
              <w:rPr>
                <w:rStyle w:val="21"/>
                <w:rFonts w:hint="eastAsia" w:ascii="宋体" w:hAnsi="宋体" w:eastAsia="宋体" w:cs="宋体"/>
                <w:sz w:val="18"/>
                <w:szCs w:val="18"/>
                <w:lang w:eastAsia="zh-CN" w:bidi="ar"/>
              </w:rPr>
              <w:t>日</w:t>
            </w:r>
            <w:r>
              <w:rPr>
                <w:rStyle w:val="21"/>
                <w:rFonts w:hint="eastAsia" w:ascii="宋体" w:hAnsi="宋体" w:eastAsia="宋体" w:cs="宋体"/>
                <w:sz w:val="18"/>
                <w:szCs w:val="18"/>
                <w:lang w:bidi="ar"/>
              </w:rPr>
              <w:t>内取得取水许可延续申请批复的；</w:t>
            </w:r>
          </w:p>
          <w:p>
            <w:pPr>
              <w:pStyle w:val="2"/>
              <w:spacing w:line="240" w:lineRule="exact"/>
              <w:rPr>
                <w:rStyle w:val="21"/>
                <w:rFonts w:hint="eastAsia" w:ascii="宋体" w:hAnsi="宋体" w:eastAsia="宋体" w:cs="宋体"/>
                <w:sz w:val="18"/>
                <w:szCs w:val="18"/>
                <w:lang w:bidi="ar"/>
              </w:rPr>
            </w:pPr>
            <w:r>
              <w:rPr>
                <w:rStyle w:val="21"/>
                <w:rFonts w:hint="eastAsia" w:ascii="宋体" w:hAnsi="宋体" w:eastAsia="宋体" w:cs="宋体"/>
                <w:sz w:val="18"/>
                <w:szCs w:val="18"/>
                <w:lang w:val="en-US" w:eastAsia="zh-CN" w:bidi="ar"/>
              </w:rPr>
              <w:t>（注：符合上述所有情形的，不予处罚，应将本次违法情况进行登记备案，以后再发生类似问题的将不再适用本条件）</w:t>
            </w:r>
          </w:p>
        </w:tc>
        <w:tc>
          <w:tcPr>
            <w:tcW w:w="169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40" w:lineRule="exact"/>
              <w:rPr>
                <w:rStyle w:val="21"/>
                <w:rFonts w:hint="eastAsia" w:ascii="宋体" w:hAnsi="宋体" w:eastAsia="宋体" w:cs="宋体"/>
                <w:sz w:val="18"/>
                <w:szCs w:val="18"/>
                <w:lang w:bidi="ar"/>
              </w:rPr>
            </w:pPr>
            <w:r>
              <w:rPr>
                <w:rStyle w:val="21"/>
                <w:rFonts w:hint="eastAsia" w:ascii="宋体" w:hAnsi="宋体" w:eastAsia="宋体" w:cs="宋体"/>
                <w:sz w:val="18"/>
                <w:szCs w:val="18"/>
                <w:lang w:bidi="ar"/>
              </w:rPr>
              <w:t>不予处罚</w:t>
            </w:r>
          </w:p>
        </w:tc>
        <w:tc>
          <w:tcPr>
            <w:tcW w:w="563" w:type="dxa"/>
            <w:vMerge w:val="continue"/>
            <w:tcBorders>
              <w:left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rPr>
                <w:rStyle w:val="21"/>
                <w:rFonts w:hint="eastAsia" w:ascii="宋体" w:hAnsi="宋体" w:eastAsia="宋体" w:cs="宋体"/>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2295" w:hRule="atLeast"/>
          <w:jc w:val="center"/>
        </w:trPr>
        <w:tc>
          <w:tcPr>
            <w:tcW w:w="495" w:type="dxa"/>
            <w:vMerge w:val="continue"/>
            <w:tcBorders>
              <w:left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jc w:val="center"/>
              <w:rPr>
                <w:rFonts w:hint="eastAsia" w:ascii="宋体" w:hAnsi="宋体" w:eastAsia="宋体" w:cs="宋体"/>
                <w:sz w:val="18"/>
                <w:szCs w:val="18"/>
              </w:rPr>
            </w:pPr>
          </w:p>
        </w:tc>
        <w:tc>
          <w:tcPr>
            <w:tcW w:w="1211" w:type="dxa"/>
            <w:vMerge w:val="continue"/>
            <w:tcBorders>
              <w:left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rPr>
                <w:rFonts w:hint="eastAsia" w:ascii="宋体" w:hAnsi="宋体" w:eastAsia="宋体" w:cs="宋体"/>
                <w:sz w:val="18"/>
                <w:szCs w:val="18"/>
              </w:rPr>
            </w:pPr>
          </w:p>
        </w:tc>
        <w:tc>
          <w:tcPr>
            <w:tcW w:w="5361" w:type="dxa"/>
            <w:vMerge w:val="continue"/>
            <w:tcBorders>
              <w:left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rPr>
                <w:rFonts w:hint="eastAsia" w:ascii="宋体" w:hAnsi="宋体" w:eastAsia="宋体" w:cs="宋体"/>
                <w:sz w:val="18"/>
                <w:szCs w:val="18"/>
              </w:rPr>
            </w:pPr>
          </w:p>
        </w:tc>
        <w:tc>
          <w:tcPr>
            <w:tcW w:w="1609" w:type="dxa"/>
            <w:tcBorders>
              <w:left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rPr>
                <w:rFonts w:hint="eastAsia" w:ascii="宋体" w:hAnsi="宋体" w:eastAsia="宋体" w:cs="宋体"/>
                <w:sz w:val="18"/>
                <w:szCs w:val="18"/>
              </w:rPr>
            </w:pPr>
            <w:r>
              <w:rPr>
                <w:rFonts w:hint="eastAsia" w:ascii="宋体" w:hAnsi="宋体" w:eastAsia="宋体" w:cs="宋体"/>
                <w:color w:val="auto"/>
                <w:sz w:val="18"/>
                <w:szCs w:val="18"/>
              </w:rPr>
              <w:t>未按照取水许可审批条件足额泄放生态流量的</w:t>
            </w:r>
          </w:p>
        </w:tc>
        <w:tc>
          <w:tcPr>
            <w:tcW w:w="672" w:type="dxa"/>
            <w:tcBorders>
              <w:top w:val="single" w:color="auto" w:sz="4" w:space="0"/>
              <w:left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jc w:val="center"/>
              <w:rPr>
                <w:rFonts w:hint="eastAsia" w:ascii="宋体" w:hAnsi="宋体" w:eastAsia="宋体" w:cs="宋体"/>
                <w:sz w:val="18"/>
                <w:szCs w:val="18"/>
                <w:lang w:eastAsia="zh-CN"/>
              </w:rPr>
            </w:pPr>
            <w:r>
              <w:rPr>
                <w:rFonts w:hint="eastAsia" w:ascii="宋体" w:hAnsi="宋体" w:eastAsia="宋体" w:cs="宋体"/>
                <w:color w:val="auto"/>
                <w:sz w:val="18"/>
                <w:szCs w:val="18"/>
              </w:rPr>
              <w:t>轻微</w:t>
            </w:r>
          </w:p>
        </w:tc>
        <w:tc>
          <w:tcPr>
            <w:tcW w:w="328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80" w:lineRule="exact"/>
              <w:rPr>
                <w:rStyle w:val="21"/>
                <w:rFonts w:hint="eastAsia" w:ascii="宋体" w:hAnsi="宋体" w:eastAsia="宋体" w:cs="宋体"/>
                <w:color w:val="auto"/>
                <w:sz w:val="18"/>
                <w:szCs w:val="18"/>
                <w:lang w:bidi="ar"/>
              </w:rPr>
            </w:pPr>
            <w:r>
              <w:rPr>
                <w:rStyle w:val="21"/>
                <w:rFonts w:hint="eastAsia" w:ascii="宋体" w:hAnsi="宋体" w:eastAsia="宋体" w:cs="宋体"/>
                <w:color w:val="auto"/>
                <w:sz w:val="18"/>
                <w:szCs w:val="18"/>
                <w:lang w:bidi="ar"/>
              </w:rPr>
              <w:t>1.初次违法；</w:t>
            </w:r>
          </w:p>
          <w:p>
            <w:pPr>
              <w:spacing w:line="280" w:lineRule="exact"/>
              <w:rPr>
                <w:rStyle w:val="21"/>
                <w:rFonts w:hint="eastAsia" w:ascii="宋体" w:hAnsi="宋体" w:eastAsia="宋体" w:cs="宋体"/>
                <w:color w:val="auto"/>
                <w:sz w:val="18"/>
                <w:szCs w:val="18"/>
                <w:lang w:bidi="ar"/>
              </w:rPr>
            </w:pPr>
            <w:r>
              <w:rPr>
                <w:rStyle w:val="21"/>
                <w:rFonts w:hint="eastAsia" w:ascii="宋体" w:hAnsi="宋体" w:eastAsia="宋体" w:cs="宋体"/>
                <w:color w:val="auto"/>
                <w:sz w:val="18"/>
                <w:szCs w:val="18"/>
                <w:lang w:bidi="ar"/>
              </w:rPr>
              <w:t>2.</w:t>
            </w:r>
            <w:r>
              <w:rPr>
                <w:rStyle w:val="21"/>
                <w:rFonts w:hint="eastAsia" w:ascii="宋体" w:hAnsi="宋体" w:eastAsia="宋体" w:cs="宋体"/>
                <w:color w:val="auto"/>
                <w:sz w:val="18"/>
                <w:szCs w:val="18"/>
                <w:lang w:val="en-US" w:eastAsia="zh-CN" w:bidi="ar"/>
              </w:rPr>
              <w:t>立即</w:t>
            </w:r>
            <w:r>
              <w:rPr>
                <w:rStyle w:val="21"/>
                <w:rFonts w:hint="eastAsia" w:ascii="宋体" w:hAnsi="宋体" w:eastAsia="宋体" w:cs="宋体"/>
                <w:color w:val="auto"/>
                <w:sz w:val="18"/>
                <w:szCs w:val="18"/>
                <w:lang w:bidi="ar"/>
              </w:rPr>
              <w:t>停止违法行为，签署承诺书保证不再违反同类规定，限期采取补救措施；</w:t>
            </w:r>
          </w:p>
          <w:p>
            <w:pPr>
              <w:spacing w:line="280" w:lineRule="exact"/>
              <w:rPr>
                <w:rStyle w:val="21"/>
                <w:rFonts w:hint="eastAsia" w:ascii="宋体" w:hAnsi="宋体" w:eastAsia="宋体" w:cs="宋体"/>
                <w:color w:val="auto"/>
                <w:sz w:val="18"/>
                <w:szCs w:val="18"/>
                <w:lang w:bidi="ar"/>
              </w:rPr>
            </w:pPr>
            <w:r>
              <w:rPr>
                <w:rStyle w:val="21"/>
                <w:rFonts w:hint="eastAsia" w:ascii="宋体" w:hAnsi="宋体" w:eastAsia="宋体" w:cs="宋体"/>
                <w:color w:val="auto"/>
                <w:sz w:val="18"/>
                <w:szCs w:val="18"/>
                <w:lang w:val="en-US" w:eastAsia="zh-CN" w:bidi="ar"/>
              </w:rPr>
              <w:t>3.</w:t>
            </w:r>
            <w:r>
              <w:rPr>
                <w:rStyle w:val="21"/>
                <w:rFonts w:hint="eastAsia" w:ascii="宋体" w:hAnsi="宋体" w:eastAsia="宋体" w:cs="宋体"/>
                <w:color w:val="auto"/>
                <w:sz w:val="18"/>
                <w:szCs w:val="18"/>
                <w:lang w:bidi="ar"/>
              </w:rPr>
              <w:t>未造成明显河道减水</w:t>
            </w:r>
          </w:p>
          <w:p>
            <w:pPr>
              <w:pStyle w:val="2"/>
              <w:spacing w:line="280" w:lineRule="exact"/>
              <w:rPr>
                <w:rStyle w:val="21"/>
                <w:rFonts w:hint="eastAsia" w:ascii="宋体" w:hAnsi="宋体" w:eastAsia="宋体" w:cs="宋体"/>
                <w:sz w:val="18"/>
                <w:szCs w:val="18"/>
                <w:lang w:bidi="ar"/>
              </w:rPr>
            </w:pPr>
            <w:r>
              <w:rPr>
                <w:rStyle w:val="21"/>
                <w:rFonts w:hint="eastAsia" w:ascii="宋体" w:hAnsi="宋体" w:eastAsia="宋体" w:cs="宋体"/>
                <w:sz w:val="18"/>
                <w:szCs w:val="18"/>
                <w:lang w:val="en-US" w:eastAsia="zh-CN" w:bidi="ar"/>
              </w:rPr>
              <w:t>（注：符合上述所有情形的，不予处罚，应将本次违法情况进行登记备案，以后再发生类似问题的将不再适用本条件）</w:t>
            </w:r>
          </w:p>
        </w:tc>
        <w:tc>
          <w:tcPr>
            <w:tcW w:w="1697" w:type="dxa"/>
            <w:tcBorders>
              <w:top w:val="single" w:color="auto" w:sz="4" w:space="0"/>
              <w:left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80" w:lineRule="exact"/>
              <w:rPr>
                <w:rStyle w:val="21"/>
                <w:rFonts w:hint="eastAsia" w:ascii="宋体" w:hAnsi="宋体" w:eastAsia="宋体" w:cs="宋体"/>
                <w:sz w:val="18"/>
                <w:szCs w:val="18"/>
                <w:lang w:bidi="ar"/>
              </w:rPr>
            </w:pPr>
            <w:r>
              <w:rPr>
                <w:rStyle w:val="21"/>
                <w:rFonts w:hint="eastAsia" w:ascii="宋体" w:hAnsi="宋体" w:eastAsia="宋体" w:cs="宋体"/>
                <w:color w:val="auto"/>
                <w:sz w:val="18"/>
                <w:szCs w:val="18"/>
                <w:lang w:bidi="ar"/>
              </w:rPr>
              <w:t>不予处罚</w:t>
            </w:r>
          </w:p>
        </w:tc>
        <w:tc>
          <w:tcPr>
            <w:tcW w:w="563" w:type="dxa"/>
            <w:vMerge w:val="continue"/>
            <w:tcBorders>
              <w:left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rPr>
                <w:rStyle w:val="21"/>
                <w:rFonts w:hint="eastAsia" w:ascii="宋体" w:hAnsi="宋体" w:eastAsia="宋体" w:cs="宋体"/>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2571" w:hRule="atLeast"/>
          <w:jc w:val="center"/>
        </w:trPr>
        <w:tc>
          <w:tcPr>
            <w:tcW w:w="495" w:type="dxa"/>
            <w:tcBorders>
              <w:left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12</w:t>
            </w:r>
          </w:p>
        </w:tc>
        <w:tc>
          <w:tcPr>
            <w:tcW w:w="1211" w:type="dxa"/>
            <w:tcBorders>
              <w:left w:val="single" w:color="auto" w:sz="4" w:space="0"/>
              <w:right w:val="single" w:color="auto" w:sz="4" w:space="0"/>
            </w:tcBorders>
            <w:shd w:val="clear" w:color="auto" w:fill="FFFFFF"/>
            <w:noWrap w:val="0"/>
            <w:tcMar>
              <w:top w:w="0" w:type="dxa"/>
              <w:left w:w="0" w:type="dxa"/>
              <w:bottom w:w="0" w:type="dxa"/>
              <w:right w:w="0" w:type="dxa"/>
            </w:tcMar>
            <w:vAlign w:val="center"/>
          </w:tcPr>
          <w:p>
            <w:pPr>
              <w:widowControl/>
              <w:spacing w:line="260" w:lineRule="exact"/>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对地下水取水工程未安装计量设施，计量设施不合格或者运行不正常行为的行政处罚</w:t>
            </w:r>
          </w:p>
        </w:tc>
        <w:tc>
          <w:tcPr>
            <w:tcW w:w="5361" w:type="dxa"/>
            <w:tcBorders>
              <w:left w:val="single" w:color="auto" w:sz="4" w:space="0"/>
              <w:right w:val="single" w:color="auto" w:sz="4" w:space="0"/>
            </w:tcBorders>
            <w:shd w:val="clear" w:color="auto" w:fill="FFFFFF"/>
            <w:noWrap w:val="0"/>
            <w:tcMar>
              <w:top w:w="0" w:type="dxa"/>
              <w:left w:w="0" w:type="dxa"/>
              <w:bottom w:w="0" w:type="dxa"/>
              <w:right w:w="0" w:type="dxa"/>
            </w:tcMar>
            <w:vAlign w:val="center"/>
          </w:tcPr>
          <w:p>
            <w:pPr>
              <w:widowControl/>
              <w:spacing w:line="260" w:lineRule="exact"/>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《地下水管理条例》第五十六条 地下水取水工程未安装计量设施的，由县级以上地方人民政府水行政主管部门责令限期安装，并按照</w:t>
            </w:r>
            <w:r>
              <w:rPr>
                <w:rFonts w:hint="eastAsia" w:ascii="宋体" w:hAnsi="宋体" w:eastAsia="宋体" w:cs="宋体"/>
                <w:color w:val="000000"/>
                <w:kern w:val="0"/>
                <w:sz w:val="18"/>
                <w:szCs w:val="18"/>
                <w:lang w:eastAsia="zh-CN" w:bidi="ar"/>
              </w:rPr>
              <w:t>日</w:t>
            </w:r>
            <w:r>
              <w:rPr>
                <w:rFonts w:hint="eastAsia" w:ascii="宋体" w:hAnsi="宋体" w:eastAsia="宋体" w:cs="宋体"/>
                <w:color w:val="000000"/>
                <w:kern w:val="0"/>
                <w:sz w:val="18"/>
                <w:szCs w:val="18"/>
                <w:lang w:bidi="ar"/>
              </w:rPr>
              <w:t>最大取水能力计算的取水量计征相关费用，处10万元以上50万元以下罚款；情节严重的，吊销取水许可证。</w:t>
            </w:r>
          </w:p>
          <w:p>
            <w:pPr>
              <w:widowControl/>
              <w:spacing w:line="260" w:lineRule="exact"/>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计量设施不合格或者运行不正常的，由县级以上地方人民政府水行政主管部门责令限期更换或者修复；逾期不更换或者不修复的，按照</w:t>
            </w:r>
            <w:r>
              <w:rPr>
                <w:rFonts w:hint="eastAsia" w:ascii="宋体" w:hAnsi="宋体" w:eastAsia="宋体" w:cs="宋体"/>
                <w:color w:val="000000"/>
                <w:kern w:val="0"/>
                <w:sz w:val="18"/>
                <w:szCs w:val="18"/>
                <w:lang w:eastAsia="zh-CN" w:bidi="ar"/>
              </w:rPr>
              <w:t>日</w:t>
            </w:r>
            <w:r>
              <w:rPr>
                <w:rFonts w:hint="eastAsia" w:ascii="宋体" w:hAnsi="宋体" w:eastAsia="宋体" w:cs="宋体"/>
                <w:color w:val="000000"/>
                <w:kern w:val="0"/>
                <w:sz w:val="18"/>
                <w:szCs w:val="18"/>
                <w:lang w:bidi="ar"/>
              </w:rPr>
              <w:t>最大取水能力计算的取水量计征相关费用，处10万元以上50万元以下罚款；情节严重的，吊销取水许可证。</w:t>
            </w:r>
          </w:p>
        </w:tc>
        <w:tc>
          <w:tcPr>
            <w:tcW w:w="1609" w:type="dxa"/>
            <w:tcBorders>
              <w:top w:val="single" w:color="auto" w:sz="4" w:space="0"/>
              <w:left w:val="single" w:color="auto" w:sz="4" w:space="0"/>
              <w:right w:val="single" w:color="auto" w:sz="4" w:space="0"/>
            </w:tcBorders>
            <w:shd w:val="clear" w:color="auto" w:fill="FFFFFF"/>
            <w:noWrap w:val="0"/>
            <w:tcMar>
              <w:top w:w="0" w:type="dxa"/>
              <w:left w:w="0" w:type="dxa"/>
              <w:bottom w:w="0" w:type="dxa"/>
              <w:right w:w="0" w:type="dxa"/>
            </w:tcMar>
            <w:vAlign w:val="center"/>
          </w:tcPr>
          <w:p>
            <w:pPr>
              <w:widowControl/>
              <w:spacing w:line="260" w:lineRule="exact"/>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地下水取水工程未安装计量设施的</w:t>
            </w:r>
          </w:p>
        </w:tc>
        <w:tc>
          <w:tcPr>
            <w:tcW w:w="67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轻微</w:t>
            </w:r>
          </w:p>
        </w:tc>
        <w:tc>
          <w:tcPr>
            <w:tcW w:w="328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rPr>
                <w:rStyle w:val="21"/>
                <w:rFonts w:hint="eastAsia" w:ascii="宋体" w:hAnsi="宋体" w:eastAsia="宋体" w:cs="宋体"/>
                <w:sz w:val="18"/>
                <w:szCs w:val="18"/>
                <w:lang w:bidi="ar"/>
              </w:rPr>
            </w:pPr>
            <w:r>
              <w:rPr>
                <w:rStyle w:val="21"/>
                <w:rFonts w:hint="eastAsia" w:ascii="宋体" w:hAnsi="宋体" w:eastAsia="宋体" w:cs="宋体"/>
                <w:sz w:val="18"/>
                <w:szCs w:val="18"/>
                <w:lang w:bidi="ar"/>
              </w:rPr>
              <w:t>1.初次违法；</w:t>
            </w:r>
          </w:p>
          <w:p>
            <w:pPr>
              <w:spacing w:line="260" w:lineRule="exact"/>
              <w:rPr>
                <w:rStyle w:val="21"/>
                <w:rFonts w:hint="eastAsia" w:ascii="宋体" w:hAnsi="宋体" w:eastAsia="宋体" w:cs="宋体"/>
                <w:sz w:val="18"/>
                <w:szCs w:val="18"/>
                <w:lang w:bidi="ar"/>
              </w:rPr>
            </w:pPr>
            <w:r>
              <w:rPr>
                <w:rStyle w:val="21"/>
                <w:rFonts w:hint="eastAsia" w:ascii="宋体" w:hAnsi="宋体" w:eastAsia="宋体" w:cs="宋体"/>
                <w:sz w:val="18"/>
                <w:szCs w:val="18"/>
                <w:lang w:bidi="ar"/>
              </w:rPr>
              <w:t>2.</w:t>
            </w:r>
            <w:r>
              <w:rPr>
                <w:rStyle w:val="21"/>
                <w:rFonts w:hint="eastAsia" w:ascii="宋体" w:hAnsi="宋体" w:eastAsia="宋体" w:cs="宋体"/>
                <w:sz w:val="18"/>
                <w:szCs w:val="18"/>
                <w:lang w:val="en-US" w:eastAsia="zh-CN" w:bidi="ar"/>
              </w:rPr>
              <w:t>立即</w:t>
            </w:r>
            <w:r>
              <w:rPr>
                <w:rStyle w:val="21"/>
                <w:rFonts w:hint="eastAsia" w:ascii="宋体" w:hAnsi="宋体" w:eastAsia="宋体" w:cs="宋体"/>
                <w:sz w:val="18"/>
                <w:szCs w:val="18"/>
                <w:lang w:bidi="ar"/>
              </w:rPr>
              <w:t>停止违法行为，签署承诺书保证不再违反同类规定，限期采取补救措施；</w:t>
            </w:r>
          </w:p>
          <w:p>
            <w:pPr>
              <w:spacing w:line="260" w:lineRule="exact"/>
              <w:rPr>
                <w:rStyle w:val="21"/>
                <w:rFonts w:hint="eastAsia" w:ascii="宋体" w:hAnsi="宋体" w:eastAsia="宋体" w:cs="宋体"/>
                <w:sz w:val="18"/>
                <w:szCs w:val="18"/>
                <w:lang w:bidi="ar"/>
              </w:rPr>
            </w:pPr>
            <w:r>
              <w:rPr>
                <w:rStyle w:val="21"/>
                <w:rFonts w:hint="eastAsia" w:ascii="宋体" w:hAnsi="宋体" w:eastAsia="宋体" w:cs="宋体"/>
                <w:sz w:val="18"/>
                <w:szCs w:val="18"/>
                <w:lang w:bidi="ar"/>
              </w:rPr>
              <w:t>3.地下水取水工程未安装计量设施且在规定时限内按照相关技术规范完成计量设施安装的；</w:t>
            </w:r>
          </w:p>
          <w:p>
            <w:pPr>
              <w:pStyle w:val="2"/>
              <w:spacing w:line="260" w:lineRule="exact"/>
              <w:rPr>
                <w:rFonts w:hint="eastAsia" w:ascii="宋体" w:hAnsi="宋体" w:eastAsia="宋体" w:cs="宋体"/>
                <w:sz w:val="18"/>
                <w:szCs w:val="18"/>
              </w:rPr>
            </w:pPr>
            <w:r>
              <w:rPr>
                <w:rStyle w:val="21"/>
                <w:rFonts w:hint="eastAsia" w:ascii="宋体" w:hAnsi="宋体" w:eastAsia="宋体" w:cs="宋体"/>
                <w:sz w:val="18"/>
                <w:szCs w:val="18"/>
                <w:lang w:val="en-US" w:eastAsia="zh-CN" w:bidi="ar"/>
              </w:rPr>
              <w:t>（注：符合上述所有情形的，不予处罚，应将本次违法情况进行登记备案，以后再发生类似问题的将不再适用本条件）</w:t>
            </w:r>
          </w:p>
        </w:tc>
        <w:tc>
          <w:tcPr>
            <w:tcW w:w="169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rPr>
                <w:rStyle w:val="21"/>
                <w:rFonts w:hint="eastAsia" w:ascii="宋体" w:hAnsi="宋体" w:eastAsia="宋体" w:cs="宋体"/>
                <w:sz w:val="18"/>
                <w:szCs w:val="18"/>
                <w:lang w:bidi="ar"/>
              </w:rPr>
            </w:pPr>
            <w:r>
              <w:rPr>
                <w:rStyle w:val="21"/>
                <w:rFonts w:hint="eastAsia" w:ascii="宋体" w:hAnsi="宋体" w:eastAsia="宋体" w:cs="宋体"/>
                <w:sz w:val="18"/>
                <w:szCs w:val="18"/>
                <w:lang w:bidi="ar"/>
              </w:rPr>
              <w:t>不予处罚</w:t>
            </w:r>
          </w:p>
        </w:tc>
        <w:tc>
          <w:tcPr>
            <w:tcW w:w="563" w:type="dxa"/>
            <w:tcBorders>
              <w:top w:val="single" w:color="auto" w:sz="4" w:space="0"/>
              <w:left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rPr>
                <w:rStyle w:val="21"/>
                <w:rFonts w:hint="eastAsia" w:ascii="宋体" w:hAnsi="宋体" w:eastAsia="宋体" w:cs="宋体"/>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2655" w:hRule="atLeast"/>
          <w:jc w:val="center"/>
        </w:trPr>
        <w:tc>
          <w:tcPr>
            <w:tcW w:w="495" w:type="dxa"/>
            <w:tcBorders>
              <w:left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21</w:t>
            </w:r>
          </w:p>
        </w:tc>
        <w:tc>
          <w:tcPr>
            <w:tcW w:w="1211" w:type="dxa"/>
            <w:tcBorders>
              <w:left w:val="single" w:color="auto" w:sz="4" w:space="0"/>
              <w:right w:val="single" w:color="auto" w:sz="4" w:space="0"/>
            </w:tcBorders>
            <w:shd w:val="clear" w:color="auto" w:fill="FFFFFF"/>
            <w:noWrap w:val="0"/>
            <w:tcMar>
              <w:top w:w="0" w:type="dxa"/>
              <w:left w:w="0" w:type="dxa"/>
              <w:bottom w:w="0" w:type="dxa"/>
              <w:right w:w="0" w:type="dxa"/>
            </w:tcMar>
            <w:vAlign w:val="center"/>
          </w:tcPr>
          <w:p>
            <w:pPr>
              <w:widowControl/>
              <w:spacing w:line="260" w:lineRule="exact"/>
              <w:jc w:val="both"/>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对建设项目的节水设施没有建成或者没有达到国家规定的要求擅自投入使用行为的行政处罚</w:t>
            </w:r>
          </w:p>
        </w:tc>
        <w:tc>
          <w:tcPr>
            <w:tcW w:w="5361" w:type="dxa"/>
            <w:tcBorders>
              <w:left w:val="single" w:color="auto" w:sz="4" w:space="0"/>
              <w:right w:val="single" w:color="auto" w:sz="4" w:space="0"/>
            </w:tcBorders>
            <w:shd w:val="clear" w:color="auto" w:fill="FFFFFF"/>
            <w:noWrap w:val="0"/>
            <w:tcMar>
              <w:top w:w="0" w:type="dxa"/>
              <w:left w:w="0" w:type="dxa"/>
              <w:bottom w:w="0" w:type="dxa"/>
              <w:right w:w="0" w:type="dxa"/>
            </w:tcMar>
            <w:vAlign w:val="center"/>
          </w:tcPr>
          <w:p>
            <w:pPr>
              <w:widowControl/>
              <w:spacing w:line="260" w:lineRule="exact"/>
              <w:jc w:val="both"/>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《中华人民共和国水法》第七十一条 建设项目的节水设施没有建成或者没有达到国家规定的要求，擅自投入使用的，由县级以上人民政府有关部门或者流域管理机构依据职权，责令停止使用，限期改正，处五万元以上十万元以下的罚款。</w:t>
            </w:r>
          </w:p>
          <w:p>
            <w:pPr>
              <w:widowControl/>
              <w:spacing w:line="260" w:lineRule="exact"/>
              <w:jc w:val="both"/>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《河北省节约用水条例》第七十三条 违反本条例规定，有下列行为之一的，由县级以上人民政府有关部门按照职责分工予以处罚：</w:t>
            </w:r>
          </w:p>
          <w:p>
            <w:pPr>
              <w:pStyle w:val="2"/>
              <w:spacing w:line="260" w:lineRule="exact"/>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（一）项目建设单位未落实建设节水设施要求的，或者建设项目擅自停用节水设施的，责令限期改正；逾期未改正的，处五万元以上十万元以下罚款。</w:t>
            </w:r>
          </w:p>
        </w:tc>
        <w:tc>
          <w:tcPr>
            <w:tcW w:w="1609" w:type="dxa"/>
            <w:tcBorders>
              <w:top w:val="single" w:color="auto" w:sz="4" w:space="0"/>
              <w:left w:val="single" w:color="auto" w:sz="4" w:space="0"/>
              <w:right w:val="single" w:color="auto" w:sz="4" w:space="0"/>
            </w:tcBorders>
            <w:shd w:val="clear" w:color="auto" w:fill="FFFFFF"/>
            <w:noWrap w:val="0"/>
            <w:tcMar>
              <w:top w:w="0" w:type="dxa"/>
              <w:left w:w="0" w:type="dxa"/>
              <w:bottom w:w="0" w:type="dxa"/>
              <w:right w:w="0" w:type="dxa"/>
            </w:tcMar>
            <w:vAlign w:val="center"/>
          </w:tcPr>
          <w:p>
            <w:pPr>
              <w:widowControl/>
              <w:spacing w:line="260" w:lineRule="exact"/>
              <w:jc w:val="both"/>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建设项目的节水设施没有建成或者没有达到国家规定的要求，擅自投入使用</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val="en-US" w:eastAsia="zh-CN" w:bidi="ar"/>
              </w:rPr>
              <w:t>且</w:t>
            </w:r>
            <w:r>
              <w:rPr>
                <w:rFonts w:hint="eastAsia" w:ascii="宋体" w:hAnsi="宋体" w:eastAsia="宋体" w:cs="宋体"/>
                <w:color w:val="000000"/>
                <w:kern w:val="0"/>
                <w:sz w:val="18"/>
                <w:szCs w:val="18"/>
                <w:highlight w:val="none"/>
                <w:lang w:bidi="ar"/>
              </w:rPr>
              <w:t>逾期未改正的</w:t>
            </w:r>
          </w:p>
        </w:tc>
        <w:tc>
          <w:tcPr>
            <w:tcW w:w="67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轻微</w:t>
            </w:r>
          </w:p>
        </w:tc>
        <w:tc>
          <w:tcPr>
            <w:tcW w:w="328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40" w:lineRule="exact"/>
              <w:rPr>
                <w:rStyle w:val="21"/>
                <w:rFonts w:hint="eastAsia" w:ascii="宋体" w:hAnsi="宋体" w:eastAsia="宋体" w:cs="宋体"/>
                <w:sz w:val="18"/>
                <w:szCs w:val="18"/>
                <w:lang w:bidi="ar"/>
              </w:rPr>
            </w:pPr>
            <w:r>
              <w:rPr>
                <w:rStyle w:val="21"/>
                <w:rFonts w:hint="eastAsia" w:ascii="宋体" w:hAnsi="宋体" w:eastAsia="宋体" w:cs="宋体"/>
                <w:sz w:val="18"/>
                <w:szCs w:val="18"/>
                <w:lang w:bidi="ar"/>
              </w:rPr>
              <w:t>1.当事人配合检查、调查，并及时纠正其违法行为，属于首次被发现；</w:t>
            </w:r>
          </w:p>
          <w:p>
            <w:pPr>
              <w:spacing w:line="240" w:lineRule="exact"/>
              <w:rPr>
                <w:rStyle w:val="21"/>
                <w:rFonts w:hint="eastAsia" w:ascii="宋体" w:hAnsi="宋体" w:eastAsia="宋体" w:cs="宋体"/>
                <w:sz w:val="18"/>
                <w:szCs w:val="18"/>
                <w:lang w:bidi="ar"/>
              </w:rPr>
            </w:pPr>
            <w:r>
              <w:rPr>
                <w:rStyle w:val="21"/>
                <w:rFonts w:hint="eastAsia" w:ascii="宋体" w:hAnsi="宋体" w:eastAsia="宋体" w:cs="宋体"/>
                <w:sz w:val="18"/>
                <w:szCs w:val="18"/>
                <w:lang w:bidi="ar"/>
              </w:rPr>
              <w:t>2.在规定时间内建成节水设施，或修改达到国家规定的要求，签订承诺书，保证节水设施正常运行的；</w:t>
            </w:r>
          </w:p>
          <w:p>
            <w:pPr>
              <w:spacing w:line="240" w:lineRule="exact"/>
              <w:rPr>
                <w:rStyle w:val="21"/>
                <w:rFonts w:hint="eastAsia" w:ascii="宋体" w:hAnsi="宋体" w:eastAsia="宋体" w:cs="宋体"/>
                <w:sz w:val="18"/>
                <w:szCs w:val="18"/>
                <w:lang w:bidi="ar"/>
              </w:rPr>
            </w:pPr>
            <w:r>
              <w:rPr>
                <w:rStyle w:val="21"/>
                <w:rFonts w:hint="eastAsia" w:ascii="宋体" w:hAnsi="宋体" w:eastAsia="宋体" w:cs="宋体"/>
                <w:sz w:val="18"/>
                <w:szCs w:val="18"/>
                <w:lang w:bidi="ar"/>
              </w:rPr>
              <w:t>3.没有造成危害后果的；</w:t>
            </w:r>
          </w:p>
          <w:p>
            <w:pPr>
              <w:pStyle w:val="2"/>
              <w:spacing w:line="240" w:lineRule="exact"/>
              <w:rPr>
                <w:rFonts w:hint="eastAsia" w:ascii="宋体" w:hAnsi="宋体" w:eastAsia="宋体" w:cs="宋体"/>
                <w:sz w:val="18"/>
                <w:szCs w:val="18"/>
              </w:rPr>
            </w:pPr>
            <w:r>
              <w:rPr>
                <w:rStyle w:val="21"/>
                <w:rFonts w:hint="eastAsia" w:ascii="宋体" w:hAnsi="宋体" w:eastAsia="宋体" w:cs="宋体"/>
                <w:sz w:val="18"/>
                <w:szCs w:val="18"/>
                <w:lang w:val="en-US" w:eastAsia="zh-CN" w:bidi="ar"/>
              </w:rPr>
              <w:t>（注：符合上述所有情形的，不予处罚，应将本次违法情况进行登记备案，以后再发生类似问题的将不再适用本条件）</w:t>
            </w:r>
          </w:p>
        </w:tc>
        <w:tc>
          <w:tcPr>
            <w:tcW w:w="169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rPr>
                <w:rStyle w:val="21"/>
                <w:rFonts w:hint="eastAsia" w:ascii="宋体" w:hAnsi="宋体" w:eastAsia="宋体" w:cs="宋体"/>
                <w:sz w:val="18"/>
                <w:szCs w:val="18"/>
                <w:lang w:bidi="ar"/>
              </w:rPr>
            </w:pPr>
            <w:r>
              <w:rPr>
                <w:rStyle w:val="21"/>
                <w:rFonts w:hint="eastAsia" w:ascii="宋体" w:hAnsi="宋体" w:eastAsia="宋体" w:cs="宋体"/>
                <w:sz w:val="18"/>
                <w:szCs w:val="18"/>
                <w:lang w:bidi="ar"/>
              </w:rPr>
              <w:t>不予处罚</w:t>
            </w:r>
          </w:p>
        </w:tc>
        <w:tc>
          <w:tcPr>
            <w:tcW w:w="563" w:type="dxa"/>
            <w:tcBorders>
              <w:top w:val="single" w:color="auto" w:sz="4" w:space="0"/>
              <w:left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260" w:lineRule="exact"/>
              <w:rPr>
                <w:rStyle w:val="21"/>
                <w:rFonts w:hint="eastAsia" w:ascii="宋体" w:hAnsi="宋体" w:eastAsia="宋体" w:cs="宋体"/>
                <w:sz w:val="18"/>
                <w:szCs w:val="18"/>
                <w:lang w:bidi="ar"/>
              </w:rPr>
            </w:pPr>
          </w:p>
        </w:tc>
      </w:tr>
    </w:tbl>
    <w:p>
      <w:pPr>
        <w:pStyle w:val="2"/>
        <w:spacing w:line="600" w:lineRule="exact"/>
        <w:rPr>
          <w:rFonts w:ascii="仿宋_GB2312" w:hAnsi="仿宋_GB2312" w:eastAsia="仿宋_GB2312" w:cs="仿宋_GB2312"/>
        </w:rPr>
        <w:sectPr>
          <w:footerReference r:id="rId3" w:type="default"/>
          <w:footerReference r:id="rId4" w:type="even"/>
          <w:pgSz w:w="16838" w:h="11906" w:orient="landscape"/>
          <w:pgMar w:top="1134" w:right="1134" w:bottom="1134" w:left="1134" w:header="851" w:footer="964" w:gutter="0"/>
          <w:pgNumType w:fmt="decimal"/>
          <w:cols w:space="0" w:num="1"/>
          <w:rtlGutter w:val="0"/>
          <w:docGrid w:type="lines" w:linePitch="312" w:charSpace="0"/>
        </w:sectPr>
      </w:pPr>
    </w:p>
    <w:p>
      <w:pPr>
        <w:spacing w:line="600" w:lineRule="exact"/>
        <w:jc w:val="center"/>
        <w:rPr>
          <w:rFonts w:hint="eastAsia" w:eastAsia="黑体"/>
        </w:rPr>
      </w:pPr>
      <w:r>
        <w:rPr>
          <w:rFonts w:hint="eastAsia" w:ascii="黑体" w:hAnsi="黑体" w:eastAsia="黑体" w:cs="黑体"/>
          <w:sz w:val="32"/>
          <w:szCs w:val="32"/>
        </w:rPr>
        <w:t xml:space="preserve">第二部分  </w:t>
      </w:r>
      <w:r>
        <w:rPr>
          <w:rFonts w:hint="eastAsia" w:ascii="黑体" w:hAnsi="黑体" w:eastAsia="黑体" w:cs="黑体"/>
          <w:color w:val="000000"/>
          <w:sz w:val="32"/>
          <w:szCs w:val="32"/>
        </w:rPr>
        <w:t>河道、蓄滞洪区、水工程管理类</w:t>
      </w:r>
    </w:p>
    <w:tbl>
      <w:tblPr>
        <w:tblStyle w:val="13"/>
        <w:tblW w:w="148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236"/>
        <w:gridCol w:w="6027"/>
        <w:gridCol w:w="1849"/>
        <w:gridCol w:w="517"/>
        <w:gridCol w:w="2420"/>
        <w:gridCol w:w="1628"/>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7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hint="eastAsia" w:ascii="黑体" w:hAnsi="黑体" w:eastAsia="黑体" w:cs="黑体"/>
                <w:b w:val="0"/>
                <w:bCs w:val="0"/>
                <w:sz w:val="18"/>
                <w:szCs w:val="18"/>
              </w:rPr>
            </w:pPr>
            <w:r>
              <w:rPr>
                <w:rFonts w:hint="eastAsia" w:ascii="黑体" w:hAnsi="黑体" w:eastAsia="黑体" w:cs="黑体"/>
                <w:b w:val="0"/>
                <w:bCs w:val="0"/>
                <w:sz w:val="18"/>
                <w:szCs w:val="18"/>
              </w:rPr>
              <w:t>序号</w:t>
            </w:r>
          </w:p>
        </w:tc>
        <w:tc>
          <w:tcPr>
            <w:tcW w:w="123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hint="eastAsia" w:ascii="黑体" w:hAnsi="黑体" w:eastAsia="黑体" w:cs="黑体"/>
                <w:b w:val="0"/>
                <w:bCs w:val="0"/>
                <w:sz w:val="18"/>
                <w:szCs w:val="18"/>
              </w:rPr>
            </w:pPr>
            <w:r>
              <w:rPr>
                <w:rFonts w:hint="eastAsia" w:ascii="黑体" w:hAnsi="黑体" w:eastAsia="黑体" w:cs="黑体"/>
                <w:b w:val="0"/>
                <w:bCs w:val="0"/>
                <w:sz w:val="18"/>
                <w:szCs w:val="18"/>
              </w:rPr>
              <w:t>违法行为</w:t>
            </w:r>
          </w:p>
        </w:tc>
        <w:tc>
          <w:tcPr>
            <w:tcW w:w="602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hint="eastAsia" w:ascii="黑体" w:hAnsi="黑体" w:eastAsia="黑体" w:cs="黑体"/>
                <w:b w:val="0"/>
                <w:bCs w:val="0"/>
                <w:sz w:val="18"/>
                <w:szCs w:val="18"/>
              </w:rPr>
            </w:pPr>
            <w:r>
              <w:rPr>
                <w:rFonts w:hint="eastAsia" w:ascii="黑体" w:hAnsi="黑体" w:eastAsia="黑体" w:cs="黑体"/>
                <w:b w:val="0"/>
                <w:bCs w:val="0"/>
                <w:sz w:val="18"/>
                <w:szCs w:val="18"/>
              </w:rPr>
              <w:t>法定依据</w:t>
            </w:r>
          </w:p>
        </w:tc>
        <w:tc>
          <w:tcPr>
            <w:tcW w:w="184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hint="eastAsia" w:ascii="黑体" w:hAnsi="黑体" w:eastAsia="黑体" w:cs="黑体"/>
                <w:b w:val="0"/>
                <w:bCs w:val="0"/>
                <w:sz w:val="18"/>
                <w:szCs w:val="18"/>
              </w:rPr>
            </w:pPr>
            <w:r>
              <w:rPr>
                <w:rFonts w:hint="eastAsia" w:ascii="黑体" w:hAnsi="黑体" w:eastAsia="黑体" w:cs="黑体"/>
                <w:b w:val="0"/>
                <w:bCs w:val="0"/>
                <w:sz w:val="18"/>
                <w:szCs w:val="18"/>
              </w:rPr>
              <w:t>违法情形</w:t>
            </w:r>
          </w:p>
        </w:tc>
        <w:tc>
          <w:tcPr>
            <w:tcW w:w="51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hint="eastAsia" w:ascii="黑体" w:hAnsi="黑体" w:eastAsia="黑体" w:cs="黑体"/>
                <w:b w:val="0"/>
                <w:bCs w:val="0"/>
                <w:sz w:val="18"/>
                <w:szCs w:val="18"/>
              </w:rPr>
            </w:pPr>
            <w:r>
              <w:rPr>
                <w:rFonts w:hint="eastAsia" w:ascii="黑体" w:hAnsi="黑体" w:eastAsia="黑体" w:cs="黑体"/>
                <w:b w:val="0"/>
                <w:bCs w:val="0"/>
                <w:sz w:val="18"/>
                <w:szCs w:val="18"/>
              </w:rPr>
              <w:t>裁量</w:t>
            </w:r>
          </w:p>
          <w:p>
            <w:pPr>
              <w:spacing w:line="240" w:lineRule="exact"/>
              <w:jc w:val="center"/>
              <w:rPr>
                <w:rFonts w:hint="eastAsia" w:ascii="黑体" w:hAnsi="黑体" w:eastAsia="黑体" w:cs="黑体"/>
                <w:b w:val="0"/>
                <w:bCs w:val="0"/>
                <w:sz w:val="18"/>
                <w:szCs w:val="18"/>
              </w:rPr>
            </w:pPr>
            <w:r>
              <w:rPr>
                <w:rFonts w:hint="eastAsia" w:ascii="黑体" w:hAnsi="黑体" w:eastAsia="黑体" w:cs="黑体"/>
                <w:b w:val="0"/>
                <w:bCs w:val="0"/>
                <w:sz w:val="18"/>
                <w:szCs w:val="18"/>
              </w:rPr>
              <w:t>幅度</w:t>
            </w:r>
          </w:p>
        </w:tc>
        <w:tc>
          <w:tcPr>
            <w:tcW w:w="242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hint="eastAsia" w:ascii="黑体" w:hAnsi="黑体" w:eastAsia="黑体" w:cs="黑体"/>
                <w:b w:val="0"/>
                <w:bCs w:val="0"/>
                <w:sz w:val="18"/>
                <w:szCs w:val="18"/>
              </w:rPr>
            </w:pPr>
            <w:r>
              <w:rPr>
                <w:rFonts w:hint="eastAsia" w:ascii="黑体" w:hAnsi="黑体" w:eastAsia="黑体" w:cs="黑体"/>
                <w:b w:val="0"/>
                <w:bCs w:val="0"/>
                <w:sz w:val="18"/>
                <w:szCs w:val="18"/>
              </w:rPr>
              <w:t>适用条件</w:t>
            </w:r>
          </w:p>
        </w:tc>
        <w:tc>
          <w:tcPr>
            <w:tcW w:w="162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hint="eastAsia" w:ascii="黑体" w:hAnsi="黑体" w:eastAsia="黑体" w:cs="黑体"/>
                <w:b w:val="0"/>
                <w:bCs w:val="0"/>
                <w:sz w:val="18"/>
                <w:szCs w:val="18"/>
              </w:rPr>
            </w:pPr>
            <w:r>
              <w:rPr>
                <w:rFonts w:hint="eastAsia" w:ascii="黑体" w:hAnsi="黑体" w:eastAsia="黑体" w:cs="黑体"/>
                <w:b w:val="0"/>
                <w:bCs w:val="0"/>
                <w:sz w:val="18"/>
                <w:szCs w:val="18"/>
              </w:rPr>
              <w:t>裁量基准</w:t>
            </w:r>
          </w:p>
        </w:tc>
        <w:tc>
          <w:tcPr>
            <w:tcW w:w="73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hint="eastAsia" w:ascii="黑体" w:hAnsi="黑体" w:eastAsia="黑体" w:cs="黑体"/>
                <w:b w:val="0"/>
                <w:bCs w:val="0"/>
                <w:sz w:val="18"/>
                <w:szCs w:val="18"/>
                <w:lang w:val="en-US" w:eastAsia="zh-CN"/>
              </w:rPr>
            </w:pPr>
            <w:r>
              <w:rPr>
                <w:rFonts w:hint="eastAsia" w:ascii="黑体" w:hAnsi="黑体" w:eastAsia="黑体" w:cs="黑体"/>
                <w:b w:val="0"/>
                <w:bCs w:val="0"/>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5" w:hRule="atLeast"/>
          <w:jc w:val="center"/>
        </w:trPr>
        <w:tc>
          <w:tcPr>
            <w:tcW w:w="474" w:type="dxa"/>
            <w:vMerge w:val="restart"/>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宋体" w:cs="宋体"/>
                <w:b w:val="0"/>
                <w:bCs w:val="0"/>
                <w:sz w:val="18"/>
                <w:szCs w:val="18"/>
                <w:lang w:eastAsia="zh-CN"/>
              </w:rPr>
            </w:pPr>
            <w:r>
              <w:rPr>
                <w:rFonts w:hint="eastAsia" w:ascii="宋体" w:hAnsi="宋体" w:eastAsia="宋体" w:cs="宋体"/>
                <w:b w:val="0"/>
                <w:bCs w:val="0"/>
                <w:kern w:val="0"/>
                <w:sz w:val="18"/>
                <w:szCs w:val="18"/>
                <w:lang w:bidi="ar"/>
              </w:rPr>
              <w:t>2</w:t>
            </w:r>
            <w:r>
              <w:rPr>
                <w:rFonts w:hint="eastAsia" w:ascii="宋体" w:hAnsi="宋体" w:eastAsia="宋体" w:cs="宋体"/>
                <w:b w:val="0"/>
                <w:bCs w:val="0"/>
                <w:kern w:val="0"/>
                <w:sz w:val="18"/>
                <w:szCs w:val="18"/>
                <w:lang w:val="en-US" w:eastAsia="zh-CN" w:bidi="ar"/>
              </w:rPr>
              <w:t>5</w:t>
            </w:r>
          </w:p>
        </w:tc>
        <w:tc>
          <w:tcPr>
            <w:tcW w:w="1236" w:type="dxa"/>
            <w:vMerge w:val="restart"/>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widowControl/>
              <w:spacing w:line="220" w:lineRule="exact"/>
              <w:jc w:val="both"/>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对在河道管理范围内建设妨碍行洪的建筑物、构筑物，或者从事影响河势稳定、危害河岸堤防安全和其他妨碍河道行洪的活动，擅自修建水工程，或者建设桥梁、码头和其他拦河、跨河、临河建筑物、构筑物，铺设跨河管道、电缆等行为的行政处罚</w:t>
            </w:r>
          </w:p>
        </w:tc>
        <w:tc>
          <w:tcPr>
            <w:tcW w:w="6027" w:type="dxa"/>
            <w:vMerge w:val="restart"/>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widowControl/>
              <w:spacing w:line="22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《中华人民共和国水法》第六十五条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pPr>
              <w:widowControl/>
              <w:spacing w:line="22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pPr>
              <w:widowControl/>
              <w:spacing w:line="22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p>
            <w:pPr>
              <w:widowControl/>
              <w:spacing w:line="22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《中华人民共和国防洪法》 第五十三条 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p>
            <w:pPr>
              <w:widowControl/>
              <w:spacing w:line="22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第五十五条 违反本法第二十二条第二款、第三款规定，有下列行为之一的，责令停止违法行为，排除阻碍或者采取其他补救措施，可以处五万元以下的罚款：</w:t>
            </w:r>
          </w:p>
          <w:p>
            <w:pPr>
              <w:widowControl/>
              <w:spacing w:line="22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（一）在河道、湖泊管理范围内建设妨碍行洪的建筑物、构筑物的；</w:t>
            </w:r>
          </w:p>
          <w:p>
            <w:pPr>
              <w:widowControl/>
              <w:spacing w:line="220" w:lineRule="exact"/>
              <w:textAlignment w:val="center"/>
              <w:rPr>
                <w:rFonts w:hint="eastAsia" w:ascii="宋体" w:hAnsi="宋体" w:eastAsia="宋体" w:cs="宋体"/>
                <w:b w:val="0"/>
                <w:bCs w:val="0"/>
                <w:kern w:val="0"/>
                <w:sz w:val="18"/>
                <w:szCs w:val="18"/>
                <w:highlight w:val="none"/>
                <w:lang w:bidi="ar"/>
              </w:rPr>
            </w:pPr>
            <w:r>
              <w:rPr>
                <w:rFonts w:hint="eastAsia" w:ascii="宋体" w:hAnsi="宋体" w:eastAsia="宋体" w:cs="宋体"/>
                <w:b w:val="0"/>
                <w:bCs w:val="0"/>
                <w:kern w:val="0"/>
                <w:sz w:val="18"/>
                <w:szCs w:val="18"/>
                <w:highlight w:val="none"/>
                <w:lang w:bidi="ar"/>
              </w:rPr>
              <w:t>第五十七条 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pPr>
              <w:widowControl/>
              <w:spacing w:line="22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《中华人民共和国河道管理条例》第四十四条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pPr>
              <w:widowControl/>
              <w:spacing w:line="22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（三）未经批准或者不按照国家规定的防洪标准、工程安全标准整治河道或者修建水工程建筑物和其他设施的；</w:t>
            </w:r>
          </w:p>
        </w:tc>
        <w:tc>
          <w:tcPr>
            <w:tcW w:w="1849"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pacing w:line="240" w:lineRule="exact"/>
              <w:jc w:val="both"/>
              <w:rPr>
                <w:rFonts w:hint="eastAsia" w:ascii="宋体" w:hAnsi="宋体" w:eastAsia="宋体" w:cs="宋体"/>
                <w:b w:val="0"/>
                <w:bCs w:val="0"/>
                <w:sz w:val="18"/>
                <w:szCs w:val="18"/>
              </w:rPr>
            </w:pPr>
            <w:r>
              <w:rPr>
                <w:rFonts w:hint="eastAsia" w:ascii="宋体" w:hAnsi="宋体" w:eastAsia="宋体" w:cs="宋体"/>
                <w:b w:val="0"/>
                <w:bCs w:val="0"/>
                <w:kern w:val="0"/>
                <w:sz w:val="18"/>
                <w:szCs w:val="18"/>
                <w:lang w:bidi="ar"/>
              </w:rPr>
              <w:t>未经水行政主管部门签署规划同意书，擅自在江河、湖泊上建设防洪工程和其他水工程、水电站的</w:t>
            </w:r>
          </w:p>
        </w:tc>
        <w:tc>
          <w:tcPr>
            <w:tcW w:w="51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轻微</w:t>
            </w:r>
          </w:p>
        </w:tc>
        <w:tc>
          <w:tcPr>
            <w:tcW w:w="242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rPr>
                <w:rStyle w:val="21"/>
                <w:rFonts w:hint="eastAsia" w:ascii="宋体" w:hAnsi="宋体" w:eastAsia="宋体" w:cs="宋体"/>
                <w:b w:val="0"/>
                <w:bCs w:val="0"/>
                <w:color w:val="auto"/>
                <w:sz w:val="18"/>
                <w:szCs w:val="18"/>
                <w:lang w:bidi="ar"/>
              </w:rPr>
            </w:pPr>
            <w:r>
              <w:rPr>
                <w:rStyle w:val="21"/>
                <w:rFonts w:hint="eastAsia" w:ascii="宋体" w:hAnsi="宋体" w:eastAsia="宋体" w:cs="宋体"/>
                <w:b w:val="0"/>
                <w:bCs w:val="0"/>
                <w:color w:val="auto"/>
                <w:sz w:val="18"/>
                <w:szCs w:val="18"/>
                <w:lang w:bidi="ar"/>
              </w:rPr>
              <w:t>1.初次违法；</w:t>
            </w:r>
          </w:p>
          <w:p>
            <w:pPr>
              <w:spacing w:line="240" w:lineRule="exact"/>
              <w:rPr>
                <w:rStyle w:val="21"/>
                <w:rFonts w:hint="eastAsia" w:ascii="宋体" w:hAnsi="宋体" w:eastAsia="宋体" w:cs="宋体"/>
                <w:b w:val="0"/>
                <w:bCs w:val="0"/>
                <w:color w:val="auto"/>
                <w:sz w:val="18"/>
                <w:szCs w:val="18"/>
                <w:lang w:bidi="ar"/>
              </w:rPr>
            </w:pPr>
            <w:r>
              <w:rPr>
                <w:rStyle w:val="21"/>
                <w:rFonts w:hint="eastAsia" w:ascii="宋体" w:hAnsi="宋体" w:eastAsia="宋体" w:cs="宋体"/>
                <w:b w:val="0"/>
                <w:bCs w:val="0"/>
                <w:color w:val="auto"/>
                <w:sz w:val="18"/>
                <w:szCs w:val="18"/>
                <w:lang w:bidi="ar"/>
              </w:rPr>
              <w:t>2.未造成危害后果的，</w:t>
            </w:r>
            <w:r>
              <w:rPr>
                <w:rStyle w:val="21"/>
                <w:rFonts w:hint="eastAsia" w:ascii="宋体" w:hAnsi="宋体" w:eastAsia="宋体" w:cs="宋体"/>
                <w:b w:val="0"/>
                <w:bCs w:val="0"/>
                <w:color w:val="auto"/>
                <w:sz w:val="18"/>
                <w:szCs w:val="18"/>
                <w:lang w:val="en-US" w:eastAsia="zh-CN" w:bidi="ar"/>
              </w:rPr>
              <w:t>立即</w:t>
            </w:r>
            <w:r>
              <w:rPr>
                <w:rStyle w:val="21"/>
                <w:rFonts w:hint="eastAsia" w:ascii="宋体" w:hAnsi="宋体" w:eastAsia="宋体" w:cs="宋体"/>
                <w:b w:val="0"/>
                <w:bCs w:val="0"/>
                <w:color w:val="auto"/>
                <w:sz w:val="18"/>
                <w:szCs w:val="18"/>
                <w:lang w:bidi="ar"/>
              </w:rPr>
              <w:t>停止违法行为，签署承诺书，按照整改期限补办规划同意书手续的；</w:t>
            </w:r>
          </w:p>
          <w:p>
            <w:pPr>
              <w:spacing w:line="240" w:lineRule="exact"/>
              <w:rPr>
                <w:rStyle w:val="21"/>
                <w:rFonts w:hint="eastAsia" w:ascii="宋体" w:hAnsi="宋体" w:eastAsia="宋体" w:cs="宋体"/>
                <w:b w:val="0"/>
                <w:bCs w:val="0"/>
                <w:color w:val="auto"/>
                <w:sz w:val="18"/>
                <w:szCs w:val="18"/>
                <w:lang w:bidi="ar"/>
              </w:rPr>
            </w:pPr>
            <w:r>
              <w:rPr>
                <w:rStyle w:val="21"/>
                <w:rFonts w:hint="eastAsia" w:ascii="宋体" w:hAnsi="宋体" w:eastAsia="宋体" w:cs="宋体"/>
                <w:b w:val="0"/>
                <w:bCs w:val="0"/>
                <w:color w:val="auto"/>
                <w:sz w:val="18"/>
                <w:szCs w:val="18"/>
                <w:lang w:bidi="ar"/>
              </w:rPr>
              <w:t>3.违反规划同意书的要求，影响防洪但未造成后果且可采取补救措施的，停止违法行为，签署承诺书，并在规定的期限内采取补救措施的；</w:t>
            </w:r>
          </w:p>
          <w:p>
            <w:pPr>
              <w:spacing w:line="240" w:lineRule="exact"/>
              <w:rPr>
                <w:rFonts w:hint="eastAsia" w:ascii="宋体" w:hAnsi="宋体" w:eastAsia="宋体" w:cs="宋体"/>
                <w:b w:val="0"/>
                <w:bCs w:val="0"/>
                <w:sz w:val="18"/>
                <w:szCs w:val="18"/>
                <w:lang w:bidi="ar"/>
              </w:rPr>
            </w:pPr>
            <w:r>
              <w:rPr>
                <w:rStyle w:val="21"/>
                <w:rFonts w:hint="eastAsia" w:ascii="宋体" w:hAnsi="宋体" w:eastAsia="宋体" w:cs="宋体"/>
                <w:b w:val="0"/>
                <w:bCs w:val="0"/>
                <w:sz w:val="18"/>
                <w:szCs w:val="18"/>
                <w:lang w:val="en-US" w:eastAsia="zh-CN" w:bidi="ar"/>
              </w:rPr>
              <w:t>（注：符合上述所有情形的，不予处罚，应将本次违法情况进行登记备案，以后再发生类似问题的将不再适用本条件）</w:t>
            </w:r>
          </w:p>
        </w:tc>
        <w:tc>
          <w:tcPr>
            <w:tcW w:w="162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rPr>
                <w:rFonts w:hint="eastAsia" w:ascii="宋体" w:hAnsi="宋体" w:eastAsia="宋体" w:cs="宋体"/>
                <w:b w:val="0"/>
                <w:bCs w:val="0"/>
                <w:sz w:val="18"/>
                <w:szCs w:val="18"/>
                <w:lang w:bidi="ar"/>
              </w:rPr>
            </w:pPr>
            <w:r>
              <w:rPr>
                <w:rStyle w:val="21"/>
                <w:rFonts w:hint="eastAsia" w:ascii="宋体" w:hAnsi="宋体" w:eastAsia="宋体" w:cs="宋体"/>
                <w:b w:val="0"/>
                <w:bCs w:val="0"/>
                <w:color w:val="auto"/>
                <w:sz w:val="18"/>
                <w:szCs w:val="18"/>
                <w:lang w:bidi="ar"/>
              </w:rPr>
              <w:t>不予处罚</w:t>
            </w:r>
          </w:p>
        </w:tc>
        <w:tc>
          <w:tcPr>
            <w:tcW w:w="739"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hint="eastAsia" w:ascii="宋体" w:hAnsi="宋体" w:eastAsia="宋体" w:cs="宋体"/>
                <w:b w:val="0"/>
                <w:bCs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0" w:hRule="atLeast"/>
          <w:jc w:val="center"/>
        </w:trPr>
        <w:tc>
          <w:tcPr>
            <w:tcW w:w="474" w:type="dxa"/>
            <w:vMerge w:val="continue"/>
            <w:tcBorders>
              <w:left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宋体" w:cs="宋体"/>
                <w:b w:val="0"/>
                <w:bCs w:val="0"/>
                <w:kern w:val="0"/>
                <w:sz w:val="18"/>
                <w:szCs w:val="18"/>
                <w:lang w:bidi="ar"/>
              </w:rPr>
            </w:pPr>
          </w:p>
        </w:tc>
        <w:tc>
          <w:tcPr>
            <w:tcW w:w="1236" w:type="dxa"/>
            <w:vMerge w:val="continue"/>
            <w:tcBorders>
              <w:left w:val="single" w:color="auto" w:sz="4" w:space="0"/>
              <w:right w:val="single" w:color="auto" w:sz="4" w:space="0"/>
            </w:tcBorders>
            <w:noWrap w:val="0"/>
            <w:tcMar>
              <w:top w:w="0" w:type="dxa"/>
              <w:left w:w="0" w:type="dxa"/>
              <w:bottom w:w="0" w:type="dxa"/>
              <w:right w:w="0" w:type="dxa"/>
            </w:tcMar>
            <w:vAlign w:val="center"/>
          </w:tcPr>
          <w:p>
            <w:pPr>
              <w:widowControl/>
              <w:spacing w:line="220" w:lineRule="exact"/>
              <w:jc w:val="both"/>
              <w:textAlignment w:val="center"/>
              <w:rPr>
                <w:rFonts w:hint="eastAsia" w:ascii="宋体" w:hAnsi="宋体" w:eastAsia="宋体" w:cs="宋体"/>
                <w:b w:val="0"/>
                <w:bCs w:val="0"/>
                <w:kern w:val="0"/>
                <w:sz w:val="18"/>
                <w:szCs w:val="18"/>
                <w:lang w:bidi="ar"/>
              </w:rPr>
            </w:pPr>
          </w:p>
        </w:tc>
        <w:tc>
          <w:tcPr>
            <w:tcW w:w="6027" w:type="dxa"/>
            <w:vMerge w:val="continue"/>
            <w:tcBorders>
              <w:left w:val="single" w:color="auto" w:sz="4" w:space="0"/>
              <w:right w:val="single" w:color="auto" w:sz="4" w:space="0"/>
            </w:tcBorders>
            <w:noWrap w:val="0"/>
            <w:tcMar>
              <w:top w:w="0" w:type="dxa"/>
              <w:left w:w="0" w:type="dxa"/>
              <w:bottom w:w="0" w:type="dxa"/>
              <w:right w:w="0" w:type="dxa"/>
            </w:tcMar>
            <w:vAlign w:val="center"/>
          </w:tcPr>
          <w:p>
            <w:pPr>
              <w:widowControl/>
              <w:spacing w:line="220" w:lineRule="exact"/>
              <w:textAlignment w:val="center"/>
              <w:rPr>
                <w:rFonts w:hint="eastAsia" w:ascii="宋体" w:hAnsi="宋体" w:eastAsia="宋体" w:cs="宋体"/>
                <w:b w:val="0"/>
                <w:bCs w:val="0"/>
                <w:kern w:val="0"/>
                <w:sz w:val="18"/>
                <w:szCs w:val="18"/>
                <w:lang w:bidi="ar"/>
              </w:rPr>
            </w:pPr>
          </w:p>
        </w:tc>
        <w:tc>
          <w:tcPr>
            <w:tcW w:w="1849" w:type="dxa"/>
            <w:tcBorders>
              <w:left w:val="single" w:color="auto" w:sz="4" w:space="0"/>
              <w:right w:val="single" w:color="auto" w:sz="4" w:space="0"/>
            </w:tcBorders>
            <w:noWrap w:val="0"/>
            <w:tcMar>
              <w:top w:w="0" w:type="dxa"/>
              <w:left w:w="0" w:type="dxa"/>
              <w:bottom w:w="0" w:type="dxa"/>
              <w:right w:w="0" w:type="dxa"/>
            </w:tcMar>
            <w:vAlign w:val="center"/>
          </w:tcPr>
          <w:p>
            <w:pPr>
              <w:spacing w:line="240" w:lineRule="exact"/>
              <w:jc w:val="both"/>
              <w:rPr>
                <w:rFonts w:hint="eastAsia" w:ascii="宋体" w:hAnsi="宋体" w:eastAsia="宋体" w:cs="宋体"/>
                <w:b w:val="0"/>
                <w:bCs w:val="0"/>
                <w:sz w:val="18"/>
                <w:szCs w:val="18"/>
              </w:rPr>
            </w:pPr>
            <w:r>
              <w:rPr>
                <w:rFonts w:hint="eastAsia" w:ascii="宋体" w:hAnsi="宋体" w:eastAsia="宋体" w:cs="宋体"/>
                <w:b w:val="0"/>
                <w:bCs w:val="0"/>
                <w:kern w:val="0"/>
                <w:sz w:val="18"/>
                <w:szCs w:val="18"/>
                <w:highlight w:val="none"/>
                <w:lang w:bidi="ar"/>
              </w:rPr>
              <w:t>未经水行政主管部门对其工程建设方案审查同意或者未按照有关水行政主管部门审查批准的位置、界限，在河道、湖泊管理范围内从事工程设施建设活动影响行洪但尚可采取补救措施的</w:t>
            </w:r>
          </w:p>
        </w:tc>
        <w:tc>
          <w:tcPr>
            <w:tcW w:w="517"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轻微</w:t>
            </w:r>
          </w:p>
        </w:tc>
        <w:tc>
          <w:tcPr>
            <w:tcW w:w="2420"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pacing w:line="240" w:lineRule="exact"/>
              <w:rPr>
                <w:rFonts w:hint="eastAsia" w:ascii="宋体" w:hAnsi="宋体" w:eastAsia="宋体" w:cs="宋体"/>
                <w:b w:val="0"/>
                <w:bCs w:val="0"/>
                <w:kern w:val="0"/>
                <w:sz w:val="18"/>
                <w:szCs w:val="18"/>
                <w:highlight w:val="none"/>
                <w:lang w:val="en-US" w:eastAsia="zh-CN" w:bidi="ar"/>
              </w:rPr>
            </w:pPr>
            <w:r>
              <w:rPr>
                <w:rFonts w:hint="eastAsia" w:ascii="宋体" w:hAnsi="宋体" w:eastAsia="宋体" w:cs="宋体"/>
                <w:b w:val="0"/>
                <w:bCs w:val="0"/>
                <w:kern w:val="0"/>
                <w:sz w:val="18"/>
                <w:szCs w:val="18"/>
                <w:highlight w:val="none"/>
                <w:lang w:val="en-US" w:eastAsia="zh-CN" w:bidi="ar"/>
              </w:rPr>
              <w:t>1.首次违法；</w:t>
            </w:r>
          </w:p>
          <w:p>
            <w:pPr>
              <w:spacing w:line="240" w:lineRule="exact"/>
              <w:rPr>
                <w:rFonts w:hint="eastAsia" w:ascii="宋体" w:hAnsi="宋体" w:eastAsia="宋体" w:cs="宋体"/>
                <w:b w:val="0"/>
                <w:bCs w:val="0"/>
                <w:kern w:val="0"/>
                <w:sz w:val="18"/>
                <w:szCs w:val="18"/>
                <w:highlight w:val="none"/>
                <w:lang w:val="en-US" w:eastAsia="zh-CN" w:bidi="ar"/>
              </w:rPr>
            </w:pPr>
            <w:r>
              <w:rPr>
                <w:rFonts w:hint="eastAsia" w:ascii="宋体" w:hAnsi="宋体" w:eastAsia="宋体" w:cs="宋体"/>
                <w:b w:val="0"/>
                <w:bCs w:val="0"/>
                <w:kern w:val="0"/>
                <w:sz w:val="18"/>
                <w:szCs w:val="18"/>
                <w:highlight w:val="none"/>
                <w:lang w:val="en-US" w:eastAsia="zh-CN" w:bidi="ar"/>
              </w:rPr>
              <w:t>2.</w:t>
            </w:r>
            <w:r>
              <w:rPr>
                <w:rFonts w:hint="eastAsia" w:ascii="宋体" w:hAnsi="宋体" w:eastAsia="宋体" w:cs="宋体"/>
                <w:b w:val="0"/>
                <w:bCs w:val="0"/>
                <w:kern w:val="0"/>
                <w:sz w:val="18"/>
                <w:szCs w:val="18"/>
                <w:highlight w:val="none"/>
                <w:lang w:bidi="ar"/>
              </w:rPr>
              <w:t>影响行洪但尚可采取补救措施的，</w:t>
            </w:r>
            <w:r>
              <w:rPr>
                <w:rStyle w:val="21"/>
                <w:rFonts w:hint="eastAsia" w:ascii="宋体" w:hAnsi="宋体" w:eastAsia="宋体" w:cs="宋体"/>
                <w:b w:val="0"/>
                <w:bCs w:val="0"/>
                <w:color w:val="auto"/>
                <w:sz w:val="18"/>
                <w:szCs w:val="18"/>
                <w:lang w:val="en-US" w:eastAsia="zh-CN" w:bidi="ar"/>
              </w:rPr>
              <w:t>立即</w:t>
            </w:r>
            <w:r>
              <w:rPr>
                <w:rStyle w:val="21"/>
                <w:rFonts w:hint="eastAsia" w:ascii="宋体" w:hAnsi="宋体" w:eastAsia="宋体" w:cs="宋体"/>
                <w:b w:val="0"/>
                <w:bCs w:val="0"/>
                <w:color w:val="auto"/>
                <w:sz w:val="18"/>
                <w:szCs w:val="18"/>
                <w:lang w:bidi="ar"/>
              </w:rPr>
              <w:t>停止违法行为，未造成危害后果的，</w:t>
            </w:r>
            <w:r>
              <w:rPr>
                <w:rFonts w:hint="eastAsia" w:ascii="宋体" w:hAnsi="宋体" w:eastAsia="宋体" w:cs="宋体"/>
                <w:b w:val="0"/>
                <w:bCs w:val="0"/>
                <w:kern w:val="0"/>
                <w:sz w:val="18"/>
                <w:szCs w:val="18"/>
                <w:highlight w:val="none"/>
                <w:lang w:eastAsia="zh-CN" w:bidi="ar"/>
              </w:rPr>
              <w:t>在</w:t>
            </w:r>
            <w:r>
              <w:rPr>
                <w:rFonts w:hint="eastAsia" w:ascii="宋体" w:hAnsi="宋体" w:eastAsia="宋体" w:cs="宋体"/>
                <w:b w:val="0"/>
                <w:bCs w:val="0"/>
                <w:kern w:val="0"/>
                <w:sz w:val="18"/>
                <w:szCs w:val="18"/>
                <w:highlight w:val="none"/>
                <w:lang w:val="en-US" w:eastAsia="zh-CN" w:bidi="ar"/>
              </w:rPr>
              <w:t>3个月内</w:t>
            </w:r>
            <w:r>
              <w:rPr>
                <w:rFonts w:hint="eastAsia" w:ascii="宋体" w:hAnsi="宋体" w:eastAsia="宋体" w:cs="宋体"/>
                <w:b w:val="0"/>
                <w:bCs w:val="0"/>
                <w:kern w:val="0"/>
                <w:sz w:val="18"/>
                <w:szCs w:val="18"/>
                <w:highlight w:val="none"/>
                <w:lang w:bidi="ar"/>
              </w:rPr>
              <w:t>采取补救措施</w:t>
            </w:r>
            <w:r>
              <w:rPr>
                <w:rFonts w:hint="eastAsia" w:ascii="宋体" w:hAnsi="宋体" w:eastAsia="宋体" w:cs="宋体"/>
                <w:b w:val="0"/>
                <w:bCs w:val="0"/>
                <w:kern w:val="0"/>
                <w:sz w:val="18"/>
                <w:szCs w:val="18"/>
                <w:highlight w:val="none"/>
                <w:lang w:val="en-US" w:eastAsia="zh-CN" w:bidi="ar"/>
              </w:rPr>
              <w:t>的；</w:t>
            </w:r>
          </w:p>
          <w:p>
            <w:pPr>
              <w:spacing w:line="240" w:lineRule="exact"/>
              <w:rPr>
                <w:rFonts w:hint="eastAsia"/>
              </w:rPr>
            </w:pPr>
            <w:r>
              <w:rPr>
                <w:rStyle w:val="21"/>
                <w:rFonts w:hint="eastAsia" w:ascii="宋体" w:hAnsi="宋体" w:eastAsia="宋体" w:cs="宋体"/>
                <w:b w:val="0"/>
                <w:bCs w:val="0"/>
                <w:sz w:val="18"/>
                <w:szCs w:val="18"/>
                <w:lang w:val="en-US" w:eastAsia="zh-CN" w:bidi="ar"/>
              </w:rPr>
              <w:t>（注：符合上述所有情形的，不予处罚，应将本次违法情况进行登记备案，以后再发生类似问题的将不再适用本条件）</w:t>
            </w:r>
          </w:p>
        </w:tc>
        <w:tc>
          <w:tcPr>
            <w:tcW w:w="1628"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pacing w:line="240" w:lineRule="exact"/>
              <w:rPr>
                <w:rFonts w:hint="eastAsia" w:ascii="宋体" w:hAnsi="宋体" w:eastAsia="宋体" w:cs="宋体"/>
                <w:b w:val="0"/>
                <w:bCs w:val="0"/>
                <w:sz w:val="18"/>
                <w:szCs w:val="18"/>
                <w:lang w:bidi="ar"/>
              </w:rPr>
            </w:pPr>
            <w:r>
              <w:rPr>
                <w:rStyle w:val="21"/>
                <w:rFonts w:hint="eastAsia" w:ascii="宋体" w:hAnsi="宋体" w:eastAsia="宋体" w:cs="宋体"/>
                <w:b w:val="0"/>
                <w:bCs w:val="0"/>
                <w:color w:val="auto"/>
                <w:sz w:val="18"/>
                <w:szCs w:val="18"/>
                <w:lang w:val="en-US" w:eastAsia="zh-CN" w:bidi="ar"/>
              </w:rPr>
              <w:t>不予处罚</w:t>
            </w:r>
          </w:p>
        </w:tc>
        <w:tc>
          <w:tcPr>
            <w:tcW w:w="739" w:type="dxa"/>
            <w:tcBorders>
              <w:left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Style w:val="21"/>
                <w:rFonts w:hint="eastAsia" w:ascii="宋体" w:hAnsi="宋体" w:eastAsia="宋体" w:cs="宋体"/>
                <w:b w:val="0"/>
                <w:bCs w:val="0"/>
                <w:color w:val="auto"/>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74" w:type="dxa"/>
            <w:tcBorders>
              <w:left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center"/>
              <w:textAlignment w:val="center"/>
              <w:rPr>
                <w:rFonts w:hint="eastAsia" w:ascii="宋体" w:hAnsi="宋体" w:eastAsia="宋体" w:cs="宋体"/>
                <w:b w:val="0"/>
                <w:bCs w:val="0"/>
                <w:sz w:val="18"/>
                <w:szCs w:val="18"/>
                <w:lang w:eastAsia="zh-CN"/>
              </w:rPr>
            </w:pPr>
            <w:r>
              <w:rPr>
                <w:rFonts w:hint="eastAsia" w:ascii="宋体" w:hAnsi="宋体" w:eastAsia="宋体" w:cs="宋体"/>
                <w:b w:val="0"/>
                <w:bCs w:val="0"/>
                <w:kern w:val="0"/>
                <w:sz w:val="18"/>
                <w:szCs w:val="18"/>
                <w:lang w:bidi="ar"/>
              </w:rPr>
              <w:t>2</w:t>
            </w:r>
            <w:r>
              <w:rPr>
                <w:rFonts w:hint="eastAsia" w:ascii="宋体" w:hAnsi="宋体" w:eastAsia="宋体" w:cs="宋体"/>
                <w:b w:val="0"/>
                <w:bCs w:val="0"/>
                <w:kern w:val="0"/>
                <w:sz w:val="18"/>
                <w:szCs w:val="18"/>
                <w:lang w:val="en-US" w:eastAsia="zh-CN" w:bidi="ar"/>
              </w:rPr>
              <w:t>7</w:t>
            </w:r>
          </w:p>
        </w:tc>
        <w:tc>
          <w:tcPr>
            <w:tcW w:w="1236" w:type="dxa"/>
            <w:tcBorders>
              <w:left w:val="single" w:color="auto" w:sz="4" w:space="0"/>
              <w:right w:val="single" w:color="auto" w:sz="4" w:space="0"/>
            </w:tcBorders>
            <w:noWrap w:val="0"/>
            <w:tcMar>
              <w:top w:w="0" w:type="dxa"/>
              <w:left w:w="0" w:type="dxa"/>
              <w:bottom w:w="0" w:type="dxa"/>
              <w:right w:w="0" w:type="dxa"/>
            </w:tcMar>
            <w:vAlign w:val="center"/>
          </w:tcPr>
          <w:p>
            <w:pPr>
              <w:widowControl/>
              <w:spacing w:line="220" w:lineRule="exact"/>
              <w:jc w:val="both"/>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对在江河、湖泊、水库、运河、渠道内弃置、堆放阻碍行洪的物体和种植阻碍行洪的林木及高秆作物，围湖造地或者未经批准围垦河道等行为的行政处罚</w:t>
            </w:r>
          </w:p>
        </w:tc>
        <w:tc>
          <w:tcPr>
            <w:tcW w:w="6027"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widowControl/>
              <w:spacing w:line="22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《中华人民共和国水法》第六十六条 有下列行为之一，且防洪法未作规定的，由县级以上人民政府水行政主管部门或者流域管理机构依据职权，责令停止违法行为，限期清除障碍或者采取其他补救措施，处一万元以上五万元以下的罚款：</w:t>
            </w:r>
          </w:p>
          <w:p>
            <w:pPr>
              <w:widowControl/>
              <w:spacing w:line="22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（一）在江河、湖泊、水库、运河、渠道内弃置、堆放阻碍行洪的物体和种植阻碍行洪的林木及高秆作物的；</w:t>
            </w:r>
          </w:p>
          <w:p>
            <w:pPr>
              <w:widowControl/>
              <w:spacing w:line="22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（二）围湖造地或者未经批准围垦河道的。</w:t>
            </w:r>
          </w:p>
          <w:p>
            <w:pPr>
              <w:widowControl/>
              <w:spacing w:line="22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《中华人民共和国防洪法》第五十五条 违反本法第二十二条第二款、第三款规定，有下列行为之一的，责令停止违法行为，排除阻碍或者采取其他补救措施，可以处五万元以下的罚款：</w:t>
            </w:r>
          </w:p>
          <w:p>
            <w:pPr>
              <w:widowControl/>
              <w:spacing w:line="22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（二）在河道、湖泊管理范围内倾倒垃圾、渣土，从事影响河势稳定、危害河岸堤防安全和其他妨碍河道行洪的活动的；</w:t>
            </w:r>
          </w:p>
          <w:p>
            <w:pPr>
              <w:widowControl/>
              <w:spacing w:line="22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（三）在行洪河道内种植阻碍行洪的林木和高秆作物的。</w:t>
            </w:r>
          </w:p>
          <w:p>
            <w:pPr>
              <w:widowControl/>
              <w:spacing w:line="22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第五十六条 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p>
            <w:pPr>
              <w:widowControl/>
              <w:spacing w:line="22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《中华人民共和国河道管理条例》第四十四条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pPr>
              <w:widowControl/>
              <w:spacing w:line="22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（一）在河道管理范围内弃置、堆放阻碍行洪物体的；种植阻碍行洪的林木或者高杆植物的；修建围堤、阻水渠道、阻水道路的；</w:t>
            </w:r>
          </w:p>
          <w:p>
            <w:pPr>
              <w:widowControl/>
              <w:spacing w:line="22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（五）未经批准在河道滩地存放物料、修建厂房或者其他建筑设施，以及开采地下资源或者进行考古发掘的；</w:t>
            </w:r>
          </w:p>
          <w:p>
            <w:pPr>
              <w:widowControl/>
              <w:spacing w:line="22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（六）违反本条例第二十七条的规定，围垦湖泊、河流的；</w:t>
            </w:r>
          </w:p>
          <w:p>
            <w:pPr>
              <w:widowControl/>
              <w:spacing w:line="22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《河北省水利工程管理条例》第二十六条 为维护水利工程效能，禁止下列行为：</w:t>
            </w:r>
          </w:p>
          <w:p>
            <w:pPr>
              <w:widowControl/>
              <w:spacing w:line="22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（一）在河道、渠道内修建碍航、阻水及有危害的导流、挑流工程和种植高秆作物或者林木；</w:t>
            </w:r>
          </w:p>
          <w:p>
            <w:pPr>
              <w:widowControl/>
              <w:spacing w:line="22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（二）在河滩、行洪区、淀泊、蓄滞洪区、水库库区及河流入海口任意围垦和修建阻水建筑物；</w:t>
            </w:r>
          </w:p>
          <w:p>
            <w:pPr>
              <w:widowControl/>
              <w:spacing w:line="22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（三）在水库、河道、渠道、淀泊内倾倒垃圾、废渣。</w:t>
            </w:r>
          </w:p>
          <w:p>
            <w:pPr>
              <w:widowControl/>
              <w:spacing w:line="22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第四十六条　违反本条例第二十六条规定的，责令其纠正违法行为，采取补救措施，可以并处五百元以上五万元以下的罚款；严重影响防洪的，限期拆除，逾期不拆除的强行拆除，所需费用由违法者承担；对直接负责的主管人员和其他直接责任人员给予处分。</w:t>
            </w:r>
          </w:p>
        </w:tc>
        <w:tc>
          <w:tcPr>
            <w:tcW w:w="1849"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pacing w:line="240" w:lineRule="exact"/>
              <w:jc w:val="both"/>
              <w:rPr>
                <w:rFonts w:hint="eastAsia" w:ascii="宋体" w:hAnsi="宋体" w:eastAsia="宋体" w:cs="宋体"/>
                <w:b w:val="0"/>
                <w:bCs w:val="0"/>
                <w:sz w:val="18"/>
                <w:szCs w:val="18"/>
              </w:rPr>
            </w:pPr>
            <w:r>
              <w:rPr>
                <w:rFonts w:hint="eastAsia" w:ascii="宋体" w:hAnsi="宋体" w:eastAsia="宋体" w:cs="宋体"/>
                <w:b w:val="0"/>
                <w:bCs w:val="0"/>
                <w:kern w:val="0"/>
                <w:sz w:val="18"/>
                <w:szCs w:val="18"/>
                <w:highlight w:val="none"/>
                <w:lang w:bidi="ar"/>
              </w:rPr>
              <w:t>在江河、湖泊、水库、淀泊、运河、渠道内弃置、堆放阻碍行洪的物体和种植阻碍行洪的林木及高秆作物的</w:t>
            </w:r>
          </w:p>
        </w:tc>
        <w:tc>
          <w:tcPr>
            <w:tcW w:w="517"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轻微</w:t>
            </w:r>
          </w:p>
        </w:tc>
        <w:tc>
          <w:tcPr>
            <w:tcW w:w="2420"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pacing w:line="240" w:lineRule="exact"/>
              <w:rPr>
                <w:rStyle w:val="21"/>
                <w:rFonts w:hint="eastAsia" w:ascii="宋体" w:hAnsi="宋体" w:eastAsia="宋体" w:cs="宋体"/>
                <w:b w:val="0"/>
                <w:bCs w:val="0"/>
                <w:sz w:val="18"/>
                <w:szCs w:val="18"/>
                <w:lang w:bidi="ar"/>
              </w:rPr>
            </w:pPr>
            <w:r>
              <w:rPr>
                <w:rStyle w:val="21"/>
                <w:rFonts w:hint="eastAsia" w:ascii="宋体" w:hAnsi="宋体" w:eastAsia="宋体" w:cs="宋体"/>
                <w:b w:val="0"/>
                <w:bCs w:val="0"/>
                <w:sz w:val="18"/>
                <w:szCs w:val="18"/>
                <w:lang w:bidi="ar"/>
              </w:rPr>
              <w:t>1.初次违法；</w:t>
            </w:r>
          </w:p>
          <w:p>
            <w:pPr>
              <w:spacing w:line="240" w:lineRule="exact"/>
              <w:rPr>
                <w:rStyle w:val="21"/>
                <w:rFonts w:hint="eastAsia" w:ascii="宋体" w:hAnsi="宋体" w:eastAsia="宋体" w:cs="宋体"/>
                <w:b w:val="0"/>
                <w:bCs w:val="0"/>
                <w:sz w:val="18"/>
                <w:szCs w:val="18"/>
                <w:lang w:eastAsia="zh-CN" w:bidi="ar"/>
              </w:rPr>
            </w:pPr>
            <w:r>
              <w:rPr>
                <w:rStyle w:val="21"/>
                <w:rFonts w:hint="eastAsia" w:ascii="宋体" w:hAnsi="宋体" w:eastAsia="宋体" w:cs="宋体"/>
                <w:b w:val="0"/>
                <w:bCs w:val="0"/>
                <w:sz w:val="18"/>
                <w:szCs w:val="18"/>
                <w:lang w:bidi="ar"/>
              </w:rPr>
              <w:t>2.</w:t>
            </w:r>
            <w:r>
              <w:rPr>
                <w:rStyle w:val="21"/>
                <w:rFonts w:hint="eastAsia" w:ascii="宋体" w:hAnsi="宋体" w:eastAsia="宋体" w:cs="宋体"/>
                <w:b w:val="0"/>
                <w:bCs w:val="0"/>
                <w:sz w:val="18"/>
                <w:szCs w:val="18"/>
                <w:lang w:val="en-US" w:eastAsia="zh-CN" w:bidi="ar"/>
              </w:rPr>
              <w:t>立即</w:t>
            </w:r>
            <w:r>
              <w:rPr>
                <w:rStyle w:val="21"/>
                <w:rFonts w:hint="eastAsia" w:ascii="宋体" w:hAnsi="宋体" w:eastAsia="宋体" w:cs="宋体"/>
                <w:b w:val="0"/>
                <w:bCs w:val="0"/>
                <w:sz w:val="18"/>
                <w:szCs w:val="18"/>
                <w:lang w:bidi="ar"/>
              </w:rPr>
              <w:t>停止违法行为，</w:t>
            </w:r>
            <w:r>
              <w:rPr>
                <w:rStyle w:val="21"/>
                <w:rFonts w:hint="eastAsia" w:ascii="宋体" w:hAnsi="宋体" w:eastAsia="宋体" w:cs="宋体"/>
                <w:b w:val="0"/>
                <w:bCs w:val="0"/>
                <w:sz w:val="18"/>
                <w:szCs w:val="18"/>
                <w:lang w:val="en-US" w:eastAsia="zh-CN" w:bidi="ar"/>
              </w:rPr>
              <w:t>未造成危害后果，</w:t>
            </w:r>
            <w:r>
              <w:rPr>
                <w:rStyle w:val="21"/>
                <w:rFonts w:hint="eastAsia" w:ascii="宋体" w:hAnsi="宋体" w:eastAsia="宋体" w:cs="宋体"/>
                <w:b w:val="0"/>
                <w:bCs w:val="0"/>
                <w:sz w:val="18"/>
                <w:szCs w:val="18"/>
                <w:lang w:bidi="ar"/>
              </w:rPr>
              <w:t>签署承诺书保证不再违反同类规定</w:t>
            </w:r>
            <w:r>
              <w:rPr>
                <w:rStyle w:val="21"/>
                <w:rFonts w:hint="eastAsia" w:ascii="宋体" w:hAnsi="宋体" w:eastAsia="宋体" w:cs="宋体"/>
                <w:b w:val="0"/>
                <w:bCs w:val="0"/>
                <w:sz w:val="18"/>
                <w:szCs w:val="18"/>
                <w:lang w:eastAsia="zh-CN" w:bidi="ar"/>
              </w:rPr>
              <w:t>；</w:t>
            </w:r>
          </w:p>
          <w:p>
            <w:pPr>
              <w:spacing w:line="240" w:lineRule="exact"/>
              <w:rPr>
                <w:rStyle w:val="21"/>
                <w:rFonts w:hint="eastAsia" w:ascii="宋体" w:hAnsi="宋体" w:eastAsia="宋体" w:cs="宋体"/>
                <w:b w:val="0"/>
                <w:bCs w:val="0"/>
                <w:sz w:val="18"/>
                <w:szCs w:val="18"/>
                <w:lang w:bidi="ar"/>
              </w:rPr>
            </w:pPr>
            <w:r>
              <w:rPr>
                <w:rStyle w:val="21"/>
                <w:rFonts w:hint="eastAsia" w:ascii="宋体" w:hAnsi="宋体" w:eastAsia="宋体" w:cs="宋体"/>
                <w:b w:val="0"/>
                <w:bCs w:val="0"/>
                <w:sz w:val="18"/>
                <w:szCs w:val="18"/>
                <w:lang w:val="en-US" w:eastAsia="zh-CN" w:bidi="ar"/>
              </w:rPr>
              <w:t>3.1个月内</w:t>
            </w:r>
            <w:r>
              <w:rPr>
                <w:rStyle w:val="21"/>
                <w:rFonts w:hint="eastAsia" w:ascii="宋体" w:hAnsi="宋体" w:eastAsia="宋体" w:cs="宋体"/>
                <w:b w:val="0"/>
                <w:bCs w:val="0"/>
                <w:sz w:val="18"/>
                <w:szCs w:val="18"/>
                <w:lang w:bidi="ar"/>
              </w:rPr>
              <w:t>采取补救措施；</w:t>
            </w:r>
          </w:p>
          <w:p>
            <w:pPr>
              <w:pStyle w:val="2"/>
              <w:spacing w:line="240" w:lineRule="exact"/>
              <w:rPr>
                <w:rStyle w:val="21"/>
                <w:rFonts w:hint="eastAsia" w:ascii="宋体" w:hAnsi="宋体" w:eastAsia="宋体" w:cs="宋体"/>
                <w:b w:val="0"/>
                <w:bCs w:val="0"/>
                <w:color w:val="auto"/>
                <w:sz w:val="18"/>
                <w:szCs w:val="18"/>
                <w:lang w:bidi="ar"/>
              </w:rPr>
            </w:pPr>
            <w:r>
              <w:rPr>
                <w:rStyle w:val="21"/>
                <w:rFonts w:hint="eastAsia" w:ascii="宋体" w:hAnsi="宋体" w:eastAsia="宋体" w:cs="宋体"/>
                <w:b w:val="0"/>
                <w:bCs w:val="0"/>
                <w:sz w:val="18"/>
                <w:szCs w:val="18"/>
                <w:lang w:val="en-US" w:eastAsia="zh-CN" w:bidi="ar"/>
              </w:rPr>
              <w:t>（注：符合上述所有情形的，不予处罚，应将本次违法情况进行登记备案，以后再发生类似问题的将不再适用本条件）</w:t>
            </w:r>
          </w:p>
        </w:tc>
        <w:tc>
          <w:tcPr>
            <w:tcW w:w="1628"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pacing w:line="240" w:lineRule="exact"/>
              <w:rPr>
                <w:rStyle w:val="21"/>
                <w:rFonts w:hint="eastAsia" w:ascii="宋体" w:hAnsi="宋体" w:eastAsia="宋体" w:cs="宋体"/>
                <w:b w:val="0"/>
                <w:bCs w:val="0"/>
                <w:color w:val="auto"/>
                <w:sz w:val="18"/>
                <w:szCs w:val="18"/>
                <w:lang w:bidi="ar"/>
              </w:rPr>
            </w:pPr>
            <w:r>
              <w:rPr>
                <w:rStyle w:val="21"/>
                <w:rFonts w:hint="eastAsia" w:ascii="宋体" w:hAnsi="宋体" w:eastAsia="宋体" w:cs="宋体"/>
                <w:b w:val="0"/>
                <w:bCs w:val="0"/>
                <w:color w:val="auto"/>
                <w:sz w:val="18"/>
                <w:szCs w:val="18"/>
                <w:lang w:val="en-US" w:eastAsia="zh-CN" w:bidi="ar"/>
              </w:rPr>
              <w:t>不予处罚</w:t>
            </w:r>
          </w:p>
        </w:tc>
        <w:tc>
          <w:tcPr>
            <w:tcW w:w="739"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Style w:val="21"/>
                <w:rFonts w:hint="eastAsia" w:ascii="宋体" w:hAnsi="宋体" w:eastAsia="宋体" w:cs="宋体"/>
                <w:b w:val="0"/>
                <w:bCs w:val="0"/>
                <w:color w:val="auto"/>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5" w:hRule="atLeast"/>
          <w:jc w:val="center"/>
        </w:trPr>
        <w:tc>
          <w:tcPr>
            <w:tcW w:w="474" w:type="dxa"/>
            <w:vMerge w:val="restart"/>
            <w:tcBorders>
              <w:left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30</w:t>
            </w:r>
          </w:p>
        </w:tc>
        <w:tc>
          <w:tcPr>
            <w:tcW w:w="1236" w:type="dxa"/>
            <w:vMerge w:val="restart"/>
            <w:tcBorders>
              <w:left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both"/>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对侵占、毁坏水工程及堤防、护岸等有关设施，毁坏防汛、水文监测、水文地质监测设施，在水工程保护范围内从事影响水工程运行和危害水工程安全的活动等行为的行政处罚</w:t>
            </w:r>
          </w:p>
        </w:tc>
        <w:tc>
          <w:tcPr>
            <w:tcW w:w="6027" w:type="dxa"/>
            <w:vMerge w:val="restart"/>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widowControl/>
              <w:spacing w:line="24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《中华人民共和国水法》第七十二条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w:t>
            </w:r>
          </w:p>
          <w:p>
            <w:pPr>
              <w:widowControl/>
              <w:spacing w:line="24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（一）侵占、毁坏水工程及堤防、护岸等有关设施，毁坏防汛、水文监测、水文地质监测设施的。</w:t>
            </w:r>
          </w:p>
          <w:p>
            <w:pPr>
              <w:widowControl/>
              <w:spacing w:line="24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（二）在水工程保护范围内，从事影响水工程运行和危害水工程安全的爆破、打井、采石、取土等活动的。</w:t>
            </w:r>
          </w:p>
          <w:p>
            <w:pPr>
              <w:widowControl/>
              <w:spacing w:line="24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《中华人民共和国防洪法》第六十条  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p>
            <w:pPr>
              <w:widowControl/>
              <w:spacing w:line="24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《中华人民共和国河道管理条例》第四十四条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pPr>
              <w:widowControl/>
              <w:spacing w:line="24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（二）在堤防、护堤地建房、放牧、开渠、打井、挖窖、葬坟、晒粮、存放物料、开采地下资源、进行考古发掘以及开展集市贸易活动的；</w:t>
            </w:r>
          </w:p>
          <w:p>
            <w:pPr>
              <w:widowControl/>
              <w:spacing w:line="24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第四十五条 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w:t>
            </w:r>
          </w:p>
          <w:p>
            <w:pPr>
              <w:widowControl/>
              <w:spacing w:line="24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（一）损毁堤防、护岸、闸坝、水工程建筑物，损毁防汛设施、水文监测和测量设施、河岸地质监测设施以及通信照明等设施；</w:t>
            </w:r>
          </w:p>
          <w:p>
            <w:pPr>
              <w:widowControl/>
              <w:spacing w:line="24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（二）在堤防安全保护区内进行打井、钻探、爆破、挖筑鱼塘、采石、取土等危害堤防安全的活动的；</w:t>
            </w:r>
          </w:p>
          <w:p>
            <w:pPr>
              <w:widowControl/>
              <w:spacing w:line="24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（三）非管理人员操作河道上的涵闸闸门或者干扰河道管理单位正常工作的。</w:t>
            </w:r>
          </w:p>
          <w:p>
            <w:pPr>
              <w:widowControl/>
              <w:spacing w:line="24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《河北省水利工程管理条例》第十五条 为维护水利工程的管理秩序，禁止下列行为：</w:t>
            </w:r>
          </w:p>
          <w:p>
            <w:pPr>
              <w:widowControl/>
              <w:spacing w:line="24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（一）干预和阻挠工程管理人员履行职责；</w:t>
            </w:r>
          </w:p>
          <w:p>
            <w:pPr>
              <w:widowControl/>
              <w:spacing w:line="24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（三）非工程管理人员操作闸门及各项设备。</w:t>
            </w:r>
          </w:p>
          <w:p>
            <w:pPr>
              <w:widowControl/>
              <w:spacing w:line="24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第二十七条 禁止在堤顶、坝顶、闸桥行驶超过工程承载能力的车辆、履带拖拉机及雨后泥泞行车。</w:t>
            </w:r>
          </w:p>
          <w:p>
            <w:pPr>
              <w:widowControl/>
              <w:spacing w:line="24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第四十一条 违反本条例第十五条、第二十七条规定的，责令其停止违法行为，可以并处五十元以上五百元以下的罚款；造成工程设施损害的，应当赔偿损失。</w:t>
            </w:r>
          </w:p>
          <w:p>
            <w:pPr>
              <w:widowControl/>
              <w:spacing w:line="24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第二十五条 为保护水利工程及其附属设施的安全完整，禁止下列行为：</w:t>
            </w:r>
          </w:p>
          <w:p>
            <w:pPr>
              <w:widowControl/>
              <w:spacing w:line="24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（一）毁坏堤、坝、水电站、渠道、水闸、机井、泵站等水利工程建筑物及其附属设施；</w:t>
            </w:r>
          </w:p>
          <w:p>
            <w:pPr>
              <w:widowControl/>
              <w:spacing w:line="24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（二）在堤、坝、渠坡上放牧或者擅自垦植、铲草、移动护坡砂石及砍伐林木；</w:t>
            </w:r>
          </w:p>
          <w:p>
            <w:pPr>
              <w:widowControl/>
              <w:spacing w:line="24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（三）在堤、坝的顶、坡、戗台设置有碍安全管理的建筑物及障碍物；</w:t>
            </w:r>
          </w:p>
          <w:p>
            <w:pPr>
              <w:widowControl/>
              <w:spacing w:line="24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（四）侵占、毁坏通讯、报汛线路、台站、供用电设施及水利物资、器材、设备；</w:t>
            </w:r>
          </w:p>
          <w:p>
            <w:pPr>
              <w:widowControl/>
              <w:spacing w:line="24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（五）在安全保护范围内进行爆破、炸鱼、烧窑、采石、采矿、挖砂、取土等危及工程安全的活动；</w:t>
            </w:r>
          </w:p>
          <w:p>
            <w:pPr>
              <w:widowControl/>
              <w:spacing w:line="24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（六）毁坏、盗窃、擅自移动水文、测量、监测设施及界桩、标牌。</w:t>
            </w:r>
          </w:p>
          <w:p>
            <w:pPr>
              <w:widowControl/>
              <w:spacing w:line="240" w:lineRule="exact"/>
              <w:textAlignment w:val="center"/>
              <w:rPr>
                <w:rFonts w:hint="eastAsia" w:ascii="宋体" w:hAnsi="宋体" w:eastAsia="宋体" w:cs="宋体"/>
                <w:b w:val="0"/>
                <w:bCs w:val="0"/>
                <w:kern w:val="0"/>
                <w:sz w:val="18"/>
                <w:szCs w:val="18"/>
                <w:lang w:bidi="ar"/>
              </w:rPr>
            </w:pPr>
            <w:r>
              <w:rPr>
                <w:rFonts w:hint="eastAsia" w:ascii="宋体" w:hAnsi="宋体" w:eastAsia="宋体" w:cs="宋体"/>
                <w:b w:val="0"/>
                <w:bCs w:val="0"/>
                <w:kern w:val="0"/>
                <w:sz w:val="18"/>
                <w:szCs w:val="18"/>
                <w:lang w:bidi="ar"/>
              </w:rPr>
              <w:t>第四十五条　违反本条例第二十五条规定的，责令其纠正违法行为，赔偿损失，采取补救措施，可以并处三百元以上五万元以下的罚款。</w:t>
            </w:r>
          </w:p>
        </w:tc>
        <w:tc>
          <w:tcPr>
            <w:tcW w:w="1849"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pacing w:line="240" w:lineRule="exact"/>
              <w:jc w:val="both"/>
              <w:rPr>
                <w:rFonts w:hint="eastAsia" w:ascii="宋体" w:hAnsi="宋体" w:eastAsia="宋体" w:cs="宋体"/>
                <w:b w:val="0"/>
                <w:bCs w:val="0"/>
                <w:sz w:val="18"/>
                <w:szCs w:val="18"/>
              </w:rPr>
            </w:pPr>
            <w:r>
              <w:rPr>
                <w:rFonts w:hint="eastAsia" w:ascii="宋体" w:hAnsi="宋体" w:eastAsia="宋体" w:cs="宋体"/>
                <w:b w:val="0"/>
                <w:bCs w:val="0"/>
                <w:kern w:val="0"/>
                <w:sz w:val="18"/>
                <w:szCs w:val="18"/>
                <w:lang w:bidi="ar"/>
              </w:rPr>
              <w:t>侵占、毁坏水工程及堤防、护岸等有关设施，毁坏防汛、水文监测、水文地质监测设施，以及防汛备用的器材、物料的</w:t>
            </w:r>
          </w:p>
        </w:tc>
        <w:tc>
          <w:tcPr>
            <w:tcW w:w="517"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轻微</w:t>
            </w:r>
          </w:p>
        </w:tc>
        <w:tc>
          <w:tcPr>
            <w:tcW w:w="2420"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pacing w:line="240" w:lineRule="exact"/>
              <w:rPr>
                <w:rStyle w:val="21"/>
                <w:rFonts w:hint="eastAsia" w:ascii="宋体" w:hAnsi="宋体" w:eastAsia="宋体" w:cs="宋体"/>
                <w:b w:val="0"/>
                <w:bCs w:val="0"/>
                <w:color w:val="auto"/>
                <w:sz w:val="18"/>
                <w:szCs w:val="18"/>
                <w:lang w:bidi="ar"/>
              </w:rPr>
            </w:pPr>
            <w:r>
              <w:rPr>
                <w:rStyle w:val="21"/>
                <w:rFonts w:hint="eastAsia" w:ascii="宋体" w:hAnsi="宋体" w:eastAsia="宋体" w:cs="宋体"/>
                <w:b w:val="0"/>
                <w:bCs w:val="0"/>
                <w:color w:val="auto"/>
                <w:sz w:val="18"/>
                <w:szCs w:val="18"/>
                <w:lang w:bidi="ar"/>
              </w:rPr>
              <w:t>1.初次违法；</w:t>
            </w:r>
          </w:p>
          <w:p>
            <w:pPr>
              <w:spacing w:line="240" w:lineRule="exact"/>
              <w:rPr>
                <w:rStyle w:val="21"/>
                <w:rFonts w:hint="eastAsia" w:ascii="宋体" w:hAnsi="宋体" w:eastAsia="宋体" w:cs="宋体"/>
                <w:b w:val="0"/>
                <w:bCs w:val="0"/>
                <w:color w:val="auto"/>
                <w:sz w:val="18"/>
                <w:szCs w:val="18"/>
                <w:lang w:bidi="ar"/>
              </w:rPr>
            </w:pPr>
            <w:r>
              <w:rPr>
                <w:rStyle w:val="21"/>
                <w:rFonts w:hint="eastAsia" w:ascii="宋体" w:hAnsi="宋体" w:eastAsia="宋体" w:cs="宋体"/>
                <w:b w:val="0"/>
                <w:bCs w:val="0"/>
                <w:color w:val="auto"/>
                <w:sz w:val="18"/>
                <w:szCs w:val="18"/>
                <w:lang w:bidi="ar"/>
              </w:rPr>
              <w:t>2.停止违法行为，签署承诺书，立即采取补救措施或者立即赔偿损失；</w:t>
            </w:r>
          </w:p>
          <w:p>
            <w:pPr>
              <w:spacing w:line="240" w:lineRule="exact"/>
              <w:rPr>
                <w:rStyle w:val="21"/>
                <w:rFonts w:hint="eastAsia" w:ascii="宋体" w:hAnsi="宋体" w:eastAsia="宋体" w:cs="宋体"/>
                <w:b w:val="0"/>
                <w:bCs w:val="0"/>
                <w:color w:val="auto"/>
                <w:sz w:val="18"/>
                <w:szCs w:val="18"/>
                <w:lang w:bidi="ar"/>
              </w:rPr>
            </w:pPr>
            <w:r>
              <w:rPr>
                <w:rStyle w:val="21"/>
                <w:rFonts w:hint="eastAsia" w:ascii="宋体" w:hAnsi="宋体" w:eastAsia="宋体" w:cs="宋体"/>
                <w:b w:val="0"/>
                <w:bCs w:val="0"/>
                <w:color w:val="auto"/>
                <w:sz w:val="18"/>
                <w:szCs w:val="18"/>
                <w:lang w:bidi="ar"/>
              </w:rPr>
              <w:t>3.未造成危害后果的，且未对水利工程安全造成影响的；</w:t>
            </w:r>
          </w:p>
          <w:p>
            <w:pPr>
              <w:spacing w:line="240" w:lineRule="exact"/>
              <w:rPr>
                <w:rStyle w:val="21"/>
                <w:rFonts w:hint="eastAsia" w:ascii="宋体" w:hAnsi="宋体" w:eastAsia="宋体" w:cs="宋体"/>
                <w:b w:val="0"/>
                <w:bCs w:val="0"/>
                <w:color w:val="auto"/>
                <w:sz w:val="18"/>
                <w:szCs w:val="18"/>
                <w:lang w:bidi="ar"/>
              </w:rPr>
            </w:pPr>
            <w:r>
              <w:rPr>
                <w:rStyle w:val="21"/>
                <w:rFonts w:hint="eastAsia" w:ascii="宋体" w:hAnsi="宋体" w:eastAsia="宋体" w:cs="宋体"/>
                <w:b w:val="0"/>
                <w:bCs w:val="0"/>
                <w:sz w:val="18"/>
                <w:szCs w:val="18"/>
                <w:lang w:val="en-US" w:eastAsia="zh-CN" w:bidi="ar"/>
              </w:rPr>
              <w:t>（注：符合上述所有情形的，不予处罚，应将本次违法情况进行登记备案，以后再发生类似问题的将不再适用本条件）</w:t>
            </w:r>
          </w:p>
        </w:tc>
        <w:tc>
          <w:tcPr>
            <w:tcW w:w="1628"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pacing w:line="240" w:lineRule="exact"/>
              <w:rPr>
                <w:rStyle w:val="21"/>
                <w:rFonts w:hint="eastAsia" w:ascii="宋体" w:hAnsi="宋体" w:eastAsia="宋体" w:cs="宋体"/>
                <w:b w:val="0"/>
                <w:bCs w:val="0"/>
                <w:color w:val="auto"/>
                <w:sz w:val="18"/>
                <w:szCs w:val="18"/>
                <w:lang w:bidi="ar"/>
              </w:rPr>
            </w:pPr>
            <w:r>
              <w:rPr>
                <w:rStyle w:val="21"/>
                <w:rFonts w:hint="eastAsia" w:ascii="宋体" w:hAnsi="宋体" w:eastAsia="宋体" w:cs="宋体"/>
                <w:b w:val="0"/>
                <w:bCs w:val="0"/>
                <w:color w:val="auto"/>
                <w:sz w:val="18"/>
                <w:szCs w:val="18"/>
                <w:lang w:bidi="ar"/>
              </w:rPr>
              <w:t>不予处罚</w:t>
            </w:r>
          </w:p>
        </w:tc>
        <w:tc>
          <w:tcPr>
            <w:tcW w:w="739"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pStyle w:val="2"/>
              <w:spacing w:line="240" w:lineRule="exact"/>
              <w:jc w:val="center"/>
              <w:rPr>
                <w:rFonts w:hint="eastAsia" w:ascii="宋体" w:hAnsi="宋体" w:eastAsia="宋体" w:cs="宋体"/>
                <w:b w:val="0"/>
                <w:bCs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2" w:hRule="atLeast"/>
          <w:jc w:val="center"/>
        </w:trPr>
        <w:tc>
          <w:tcPr>
            <w:tcW w:w="474" w:type="dxa"/>
            <w:vMerge w:val="continue"/>
            <w:tcBorders>
              <w:left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hint="eastAsia" w:ascii="宋体" w:hAnsi="宋体" w:eastAsia="宋体" w:cs="宋体"/>
                <w:b w:val="0"/>
                <w:bCs w:val="0"/>
                <w:sz w:val="18"/>
                <w:szCs w:val="18"/>
              </w:rPr>
            </w:pPr>
          </w:p>
        </w:tc>
        <w:tc>
          <w:tcPr>
            <w:tcW w:w="1236" w:type="dxa"/>
            <w:vMerge w:val="continue"/>
            <w:tcBorders>
              <w:left w:val="single" w:color="auto" w:sz="4" w:space="0"/>
              <w:right w:val="single" w:color="auto" w:sz="4" w:space="0"/>
            </w:tcBorders>
            <w:noWrap w:val="0"/>
            <w:tcMar>
              <w:top w:w="0" w:type="dxa"/>
              <w:left w:w="0" w:type="dxa"/>
              <w:bottom w:w="0" w:type="dxa"/>
              <w:right w:w="0" w:type="dxa"/>
            </w:tcMar>
            <w:vAlign w:val="center"/>
          </w:tcPr>
          <w:p>
            <w:pPr>
              <w:widowControl/>
              <w:spacing w:line="240" w:lineRule="exact"/>
              <w:textAlignment w:val="center"/>
              <w:rPr>
                <w:rFonts w:hint="eastAsia" w:ascii="宋体" w:hAnsi="宋体" w:eastAsia="宋体" w:cs="宋体"/>
                <w:b w:val="0"/>
                <w:bCs w:val="0"/>
                <w:kern w:val="0"/>
                <w:sz w:val="18"/>
                <w:szCs w:val="18"/>
                <w:lang w:bidi="ar"/>
              </w:rPr>
            </w:pPr>
          </w:p>
        </w:tc>
        <w:tc>
          <w:tcPr>
            <w:tcW w:w="6027" w:type="dxa"/>
            <w:vMerge w:val="continue"/>
            <w:tcBorders>
              <w:left w:val="single" w:color="auto" w:sz="4" w:space="0"/>
              <w:right w:val="single" w:color="auto" w:sz="4" w:space="0"/>
            </w:tcBorders>
            <w:noWrap w:val="0"/>
            <w:tcMar>
              <w:top w:w="0" w:type="dxa"/>
              <w:left w:w="0" w:type="dxa"/>
              <w:bottom w:w="0" w:type="dxa"/>
              <w:right w:w="0" w:type="dxa"/>
            </w:tcMar>
            <w:vAlign w:val="center"/>
          </w:tcPr>
          <w:p>
            <w:pPr>
              <w:widowControl/>
              <w:spacing w:line="240" w:lineRule="exact"/>
              <w:ind w:firstLine="360" w:firstLineChars="200"/>
              <w:textAlignment w:val="center"/>
              <w:rPr>
                <w:rFonts w:hint="eastAsia" w:ascii="宋体" w:hAnsi="宋体" w:eastAsia="宋体" w:cs="宋体"/>
                <w:b w:val="0"/>
                <w:bCs w:val="0"/>
                <w:kern w:val="0"/>
                <w:sz w:val="18"/>
                <w:szCs w:val="18"/>
                <w:lang w:bidi="ar"/>
              </w:rPr>
            </w:pPr>
          </w:p>
        </w:tc>
        <w:tc>
          <w:tcPr>
            <w:tcW w:w="1849" w:type="dxa"/>
            <w:tcBorders>
              <w:left w:val="single" w:color="auto" w:sz="4" w:space="0"/>
              <w:right w:val="single" w:color="auto" w:sz="4" w:space="0"/>
            </w:tcBorders>
            <w:noWrap w:val="0"/>
            <w:tcMar>
              <w:top w:w="0" w:type="dxa"/>
              <w:left w:w="0" w:type="dxa"/>
              <w:bottom w:w="0" w:type="dxa"/>
              <w:right w:w="0" w:type="dxa"/>
            </w:tcMar>
            <w:vAlign w:val="center"/>
          </w:tcPr>
          <w:p>
            <w:pPr>
              <w:spacing w:line="240" w:lineRule="exact"/>
              <w:jc w:val="both"/>
              <w:rPr>
                <w:rFonts w:hint="eastAsia" w:ascii="宋体" w:hAnsi="宋体" w:eastAsia="宋体" w:cs="宋体"/>
                <w:b w:val="0"/>
                <w:bCs w:val="0"/>
                <w:sz w:val="18"/>
                <w:szCs w:val="18"/>
              </w:rPr>
            </w:pPr>
            <w:r>
              <w:rPr>
                <w:rFonts w:hint="eastAsia" w:ascii="宋体" w:hAnsi="宋体" w:eastAsia="宋体" w:cs="宋体"/>
                <w:b w:val="0"/>
                <w:bCs w:val="0"/>
                <w:kern w:val="0"/>
                <w:sz w:val="18"/>
                <w:szCs w:val="18"/>
                <w:lang w:bidi="ar"/>
              </w:rPr>
              <w:t>干预和阻挠工程管理人员履行职责；拦截、抢占水源，破坏供水、用水、排水秩序；非工程管理人员操作闸门及各项设备；在坝顶、闸桥上行驶超过工程承载能力的车辆、履带拖拉机及雨后泥泞行车的</w:t>
            </w:r>
          </w:p>
        </w:tc>
        <w:tc>
          <w:tcPr>
            <w:tcW w:w="517"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轻微</w:t>
            </w:r>
          </w:p>
        </w:tc>
        <w:tc>
          <w:tcPr>
            <w:tcW w:w="2420"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pacing w:line="240" w:lineRule="exact"/>
              <w:rPr>
                <w:rStyle w:val="21"/>
                <w:rFonts w:hint="eastAsia" w:ascii="宋体" w:hAnsi="宋体" w:eastAsia="宋体" w:cs="宋体"/>
                <w:b w:val="0"/>
                <w:bCs w:val="0"/>
                <w:color w:val="auto"/>
                <w:sz w:val="18"/>
                <w:szCs w:val="18"/>
                <w:lang w:bidi="ar"/>
              </w:rPr>
            </w:pPr>
            <w:r>
              <w:rPr>
                <w:rStyle w:val="21"/>
                <w:rFonts w:hint="eastAsia" w:ascii="宋体" w:hAnsi="宋体" w:eastAsia="宋体" w:cs="宋体"/>
                <w:b w:val="0"/>
                <w:bCs w:val="0"/>
                <w:color w:val="auto"/>
                <w:sz w:val="18"/>
                <w:szCs w:val="18"/>
                <w:lang w:bidi="ar"/>
              </w:rPr>
              <w:t>1.初次违法；</w:t>
            </w:r>
          </w:p>
          <w:p>
            <w:pPr>
              <w:spacing w:line="240" w:lineRule="exact"/>
              <w:rPr>
                <w:rStyle w:val="21"/>
                <w:rFonts w:hint="eastAsia" w:ascii="宋体" w:hAnsi="宋体" w:eastAsia="宋体" w:cs="宋体"/>
                <w:b w:val="0"/>
                <w:bCs w:val="0"/>
                <w:color w:val="auto"/>
                <w:sz w:val="18"/>
                <w:szCs w:val="18"/>
                <w:lang w:bidi="ar"/>
              </w:rPr>
            </w:pPr>
            <w:r>
              <w:rPr>
                <w:rStyle w:val="21"/>
                <w:rFonts w:hint="eastAsia" w:ascii="宋体" w:hAnsi="宋体" w:eastAsia="宋体" w:cs="宋体"/>
                <w:b w:val="0"/>
                <w:bCs w:val="0"/>
                <w:color w:val="auto"/>
                <w:sz w:val="18"/>
                <w:szCs w:val="18"/>
                <w:lang w:bidi="ar"/>
              </w:rPr>
              <w:t>2.纠正违法行为，签署承诺书，立即赔偿损失、采取补救措施未造成危害后果的；</w:t>
            </w:r>
          </w:p>
          <w:p>
            <w:pPr>
              <w:spacing w:line="240" w:lineRule="exact"/>
              <w:rPr>
                <w:rStyle w:val="21"/>
                <w:rFonts w:hint="eastAsia" w:ascii="宋体" w:hAnsi="宋体" w:eastAsia="宋体" w:cs="宋体"/>
                <w:b w:val="0"/>
                <w:bCs w:val="0"/>
                <w:color w:val="auto"/>
                <w:sz w:val="18"/>
                <w:szCs w:val="18"/>
                <w:lang w:bidi="ar"/>
              </w:rPr>
            </w:pPr>
            <w:r>
              <w:rPr>
                <w:rStyle w:val="21"/>
                <w:rFonts w:hint="eastAsia" w:ascii="宋体" w:hAnsi="宋体" w:eastAsia="宋体" w:cs="宋体"/>
                <w:b w:val="0"/>
                <w:bCs w:val="0"/>
                <w:color w:val="auto"/>
                <w:sz w:val="18"/>
                <w:szCs w:val="18"/>
                <w:lang w:bidi="ar"/>
              </w:rPr>
              <w:t>3.未对水利工程安全造成影响的；</w:t>
            </w:r>
          </w:p>
          <w:p>
            <w:pPr>
              <w:spacing w:line="240" w:lineRule="exact"/>
              <w:rPr>
                <w:rStyle w:val="21"/>
                <w:rFonts w:hint="eastAsia" w:ascii="宋体" w:hAnsi="宋体" w:eastAsia="宋体" w:cs="宋体"/>
                <w:b w:val="0"/>
                <w:bCs w:val="0"/>
                <w:color w:val="auto"/>
                <w:sz w:val="18"/>
                <w:szCs w:val="18"/>
                <w:lang w:bidi="ar"/>
              </w:rPr>
            </w:pPr>
            <w:r>
              <w:rPr>
                <w:rStyle w:val="21"/>
                <w:rFonts w:hint="eastAsia" w:ascii="宋体" w:hAnsi="宋体" w:eastAsia="宋体" w:cs="宋体"/>
                <w:b w:val="0"/>
                <w:bCs w:val="0"/>
                <w:sz w:val="18"/>
                <w:szCs w:val="18"/>
                <w:lang w:val="en-US" w:eastAsia="zh-CN" w:bidi="ar"/>
              </w:rPr>
              <w:t>（注：符合上述所有情形的，不予处罚，应将本次违法情况进行登记备案，以后再发生类似问题的将不再适用本条件）</w:t>
            </w:r>
          </w:p>
        </w:tc>
        <w:tc>
          <w:tcPr>
            <w:tcW w:w="1628"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pacing w:line="240" w:lineRule="exact"/>
              <w:rPr>
                <w:rStyle w:val="21"/>
                <w:rFonts w:hint="eastAsia" w:ascii="宋体" w:hAnsi="宋体" w:eastAsia="宋体" w:cs="宋体"/>
                <w:b w:val="0"/>
                <w:bCs w:val="0"/>
                <w:color w:val="auto"/>
                <w:sz w:val="18"/>
                <w:szCs w:val="18"/>
                <w:lang w:bidi="ar"/>
              </w:rPr>
            </w:pPr>
            <w:r>
              <w:rPr>
                <w:rStyle w:val="21"/>
                <w:rFonts w:hint="eastAsia" w:ascii="宋体" w:hAnsi="宋体" w:eastAsia="宋体" w:cs="宋体"/>
                <w:b w:val="0"/>
                <w:bCs w:val="0"/>
                <w:color w:val="auto"/>
                <w:sz w:val="18"/>
                <w:szCs w:val="18"/>
                <w:lang w:bidi="ar"/>
              </w:rPr>
              <w:t>不予处罚</w:t>
            </w:r>
          </w:p>
        </w:tc>
        <w:tc>
          <w:tcPr>
            <w:tcW w:w="739" w:type="dxa"/>
            <w:tcBorders>
              <w:left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Style w:val="21"/>
                <w:rFonts w:hint="eastAsia" w:ascii="宋体" w:hAnsi="宋体" w:eastAsia="宋体" w:cs="宋体"/>
                <w:b w:val="0"/>
                <w:bCs w:val="0"/>
                <w:color w:val="auto"/>
                <w:sz w:val="18"/>
                <w:szCs w:val="18"/>
                <w:lang w:bidi="ar"/>
              </w:rPr>
            </w:pPr>
          </w:p>
        </w:tc>
      </w:tr>
    </w:tbl>
    <w:p>
      <w:pPr>
        <w:pStyle w:val="2"/>
        <w:spacing w:line="600" w:lineRule="exact"/>
        <w:rPr>
          <w:rFonts w:ascii="仿宋_GB2312" w:hAnsi="仿宋_GB2312" w:eastAsia="仿宋_GB2312" w:cs="仿宋_GB2312"/>
        </w:rPr>
        <w:sectPr>
          <w:footerReference r:id="rId5" w:type="default"/>
          <w:footerReference r:id="rId6" w:type="even"/>
          <w:pgSz w:w="16838" w:h="11906" w:orient="landscape"/>
          <w:pgMar w:top="1134" w:right="1134" w:bottom="1134" w:left="1134" w:header="851" w:footer="964" w:gutter="0"/>
          <w:pgNumType w:fmt="decimal"/>
          <w:cols w:space="0" w:num="1"/>
          <w:rtlGutter w:val="0"/>
          <w:docGrid w:type="lines" w:linePitch="312" w:charSpace="0"/>
        </w:sectPr>
      </w:pPr>
    </w:p>
    <w:p>
      <w:pPr>
        <w:spacing w:line="600" w:lineRule="exact"/>
        <w:jc w:val="center"/>
        <w:rPr>
          <w:rFonts w:hint="eastAsia" w:eastAsia="黑体"/>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 xml:space="preserve">部分 </w:t>
      </w:r>
      <w:r>
        <w:rPr>
          <w:rFonts w:hint="eastAsia" w:ascii="黑体" w:hAnsi="黑体" w:eastAsia="黑体" w:cs="黑体"/>
          <w:sz w:val="32"/>
          <w:szCs w:val="32"/>
          <w:lang w:val="en-US" w:eastAsia="zh-CN"/>
        </w:rPr>
        <w:t xml:space="preserve"> </w:t>
      </w:r>
      <w:r>
        <w:rPr>
          <w:rFonts w:hint="eastAsia" w:ascii="黑体" w:hAnsi="黑体" w:eastAsia="黑体" w:cs="黑体"/>
          <w:color w:val="000000"/>
          <w:sz w:val="32"/>
          <w:szCs w:val="32"/>
        </w:rPr>
        <w:t>水土保持管理类</w:t>
      </w:r>
    </w:p>
    <w:tbl>
      <w:tblPr>
        <w:tblStyle w:val="13"/>
        <w:tblW w:w="150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260"/>
        <w:gridCol w:w="3895"/>
        <w:gridCol w:w="2342"/>
        <w:gridCol w:w="623"/>
        <w:gridCol w:w="3060"/>
        <w:gridCol w:w="2360"/>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5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60" w:lineRule="exact"/>
              <w:jc w:val="center"/>
              <w:rPr>
                <w:rFonts w:hint="eastAsia" w:ascii="黑体" w:hAnsi="黑体" w:eastAsia="黑体" w:cs="黑体"/>
                <w:sz w:val="18"/>
                <w:szCs w:val="18"/>
              </w:rPr>
            </w:pPr>
            <w:r>
              <w:rPr>
                <w:rFonts w:hint="eastAsia" w:ascii="黑体" w:hAnsi="黑体" w:eastAsia="黑体" w:cs="黑体"/>
                <w:sz w:val="18"/>
                <w:szCs w:val="18"/>
              </w:rPr>
              <w:t>序号</w:t>
            </w:r>
          </w:p>
        </w:tc>
        <w:tc>
          <w:tcPr>
            <w:tcW w:w="126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60" w:lineRule="exact"/>
              <w:jc w:val="center"/>
              <w:rPr>
                <w:rFonts w:hint="eastAsia" w:ascii="黑体" w:hAnsi="黑体" w:eastAsia="黑体" w:cs="黑体"/>
                <w:sz w:val="18"/>
                <w:szCs w:val="18"/>
              </w:rPr>
            </w:pPr>
            <w:r>
              <w:rPr>
                <w:rFonts w:hint="eastAsia" w:ascii="黑体" w:hAnsi="黑体" w:eastAsia="黑体" w:cs="黑体"/>
                <w:sz w:val="18"/>
                <w:szCs w:val="18"/>
              </w:rPr>
              <w:t>违法行为</w:t>
            </w:r>
          </w:p>
        </w:tc>
        <w:tc>
          <w:tcPr>
            <w:tcW w:w="389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60" w:lineRule="exact"/>
              <w:jc w:val="center"/>
              <w:rPr>
                <w:rFonts w:hint="eastAsia" w:ascii="黑体" w:hAnsi="黑体" w:eastAsia="黑体" w:cs="黑体"/>
                <w:sz w:val="18"/>
                <w:szCs w:val="18"/>
              </w:rPr>
            </w:pPr>
            <w:r>
              <w:rPr>
                <w:rFonts w:hint="eastAsia" w:ascii="黑体" w:hAnsi="黑体" w:eastAsia="黑体" w:cs="黑体"/>
                <w:sz w:val="18"/>
                <w:szCs w:val="18"/>
              </w:rPr>
              <w:t>法定依据</w:t>
            </w:r>
          </w:p>
        </w:tc>
        <w:tc>
          <w:tcPr>
            <w:tcW w:w="234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60" w:lineRule="exact"/>
              <w:jc w:val="center"/>
              <w:rPr>
                <w:rFonts w:hint="eastAsia" w:ascii="黑体" w:hAnsi="黑体" w:eastAsia="黑体" w:cs="黑体"/>
                <w:sz w:val="18"/>
                <w:szCs w:val="18"/>
              </w:rPr>
            </w:pPr>
            <w:r>
              <w:rPr>
                <w:rFonts w:hint="eastAsia" w:ascii="黑体" w:hAnsi="黑体" w:eastAsia="黑体" w:cs="黑体"/>
                <w:sz w:val="18"/>
                <w:szCs w:val="18"/>
              </w:rPr>
              <w:t>违法情形</w:t>
            </w:r>
          </w:p>
        </w:tc>
        <w:tc>
          <w:tcPr>
            <w:tcW w:w="62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60" w:lineRule="exact"/>
              <w:jc w:val="center"/>
              <w:rPr>
                <w:rFonts w:hint="eastAsia" w:ascii="黑体" w:hAnsi="黑体" w:eastAsia="黑体" w:cs="黑体"/>
                <w:sz w:val="18"/>
                <w:szCs w:val="18"/>
              </w:rPr>
            </w:pPr>
            <w:r>
              <w:rPr>
                <w:rFonts w:hint="eastAsia" w:ascii="黑体" w:hAnsi="黑体" w:eastAsia="黑体" w:cs="黑体"/>
                <w:sz w:val="18"/>
                <w:szCs w:val="18"/>
              </w:rPr>
              <w:t>裁量</w:t>
            </w:r>
          </w:p>
          <w:p>
            <w:pPr>
              <w:spacing w:line="260" w:lineRule="exact"/>
              <w:jc w:val="center"/>
              <w:rPr>
                <w:rFonts w:hint="eastAsia" w:ascii="黑体" w:hAnsi="黑体" w:eastAsia="黑体" w:cs="黑体"/>
                <w:sz w:val="18"/>
                <w:szCs w:val="18"/>
              </w:rPr>
            </w:pPr>
            <w:r>
              <w:rPr>
                <w:rFonts w:hint="eastAsia" w:ascii="黑体" w:hAnsi="黑体" w:eastAsia="黑体" w:cs="黑体"/>
                <w:sz w:val="18"/>
                <w:szCs w:val="18"/>
              </w:rPr>
              <w:t>幅度</w:t>
            </w:r>
          </w:p>
        </w:tc>
        <w:tc>
          <w:tcPr>
            <w:tcW w:w="306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60" w:lineRule="exact"/>
              <w:jc w:val="center"/>
              <w:rPr>
                <w:rFonts w:hint="eastAsia" w:ascii="黑体" w:hAnsi="黑体" w:eastAsia="黑体" w:cs="黑体"/>
                <w:sz w:val="18"/>
                <w:szCs w:val="18"/>
              </w:rPr>
            </w:pPr>
            <w:r>
              <w:rPr>
                <w:rFonts w:hint="eastAsia" w:ascii="黑体" w:hAnsi="黑体" w:eastAsia="黑体" w:cs="黑体"/>
                <w:sz w:val="18"/>
                <w:szCs w:val="18"/>
              </w:rPr>
              <w:t>适用条件</w:t>
            </w:r>
          </w:p>
        </w:tc>
        <w:tc>
          <w:tcPr>
            <w:tcW w:w="236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60" w:lineRule="exact"/>
              <w:jc w:val="center"/>
              <w:rPr>
                <w:rFonts w:hint="eastAsia" w:ascii="黑体" w:hAnsi="黑体" w:eastAsia="黑体" w:cs="黑体"/>
                <w:sz w:val="18"/>
                <w:szCs w:val="18"/>
              </w:rPr>
            </w:pPr>
            <w:r>
              <w:rPr>
                <w:rFonts w:hint="eastAsia" w:ascii="黑体" w:hAnsi="黑体" w:eastAsia="黑体" w:cs="黑体"/>
                <w:sz w:val="18"/>
                <w:szCs w:val="18"/>
              </w:rPr>
              <w:t>裁量基准</w:t>
            </w:r>
          </w:p>
        </w:tc>
        <w:tc>
          <w:tcPr>
            <w:tcW w:w="95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6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5" w:hRule="atLeast"/>
          <w:jc w:val="center"/>
        </w:trPr>
        <w:tc>
          <w:tcPr>
            <w:tcW w:w="510" w:type="dxa"/>
            <w:tcBorders>
              <w:left w:val="single" w:color="auto" w:sz="4" w:space="0"/>
              <w:right w:val="single" w:color="auto" w:sz="4" w:space="0"/>
            </w:tcBorders>
            <w:noWrap w:val="0"/>
            <w:tcMar>
              <w:top w:w="0" w:type="dxa"/>
              <w:left w:w="0" w:type="dxa"/>
              <w:bottom w:w="0" w:type="dxa"/>
              <w:right w:w="0" w:type="dxa"/>
            </w:tcMar>
            <w:vAlign w:val="center"/>
          </w:tcPr>
          <w:p>
            <w:pPr>
              <w:widowControl/>
              <w:spacing w:line="26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46</w:t>
            </w:r>
          </w:p>
        </w:tc>
        <w:tc>
          <w:tcPr>
            <w:tcW w:w="1260" w:type="dxa"/>
            <w:tcBorders>
              <w:left w:val="single" w:color="auto" w:sz="4" w:space="0"/>
              <w:right w:val="single" w:color="auto" w:sz="4" w:space="0"/>
            </w:tcBorders>
            <w:noWrap w:val="0"/>
            <w:tcMar>
              <w:top w:w="0" w:type="dxa"/>
              <w:left w:w="0" w:type="dxa"/>
              <w:bottom w:w="0" w:type="dxa"/>
              <w:right w:w="0" w:type="dxa"/>
            </w:tcMar>
            <w:vAlign w:val="center"/>
          </w:tcPr>
          <w:p>
            <w:pPr>
              <w:widowControl/>
              <w:spacing w:line="260" w:lineRule="exact"/>
              <w:jc w:val="both"/>
              <w:textAlignment w:val="center"/>
              <w:rPr>
                <w:rFonts w:hint="eastAsia" w:ascii="宋体" w:hAnsi="宋体" w:eastAsia="宋体" w:cs="宋体"/>
                <w:kern w:val="0"/>
                <w:sz w:val="18"/>
                <w:szCs w:val="18"/>
                <w:lang w:bidi="ar"/>
              </w:rPr>
            </w:pPr>
            <w:r>
              <w:rPr>
                <w:rFonts w:hint="eastAsia" w:ascii="宋体" w:hAnsi="宋体" w:eastAsia="宋体" w:cs="宋体"/>
                <w:color w:val="000000"/>
                <w:kern w:val="0"/>
                <w:sz w:val="18"/>
                <w:szCs w:val="18"/>
                <w:lang w:bidi="ar"/>
              </w:rPr>
              <w:t>对在禁止开垦坡度以上陡坡地开垦种植农作物，或者在禁止开垦、开发的植物保护带内开垦、开发行为的行政处罚</w:t>
            </w:r>
          </w:p>
        </w:tc>
        <w:tc>
          <w:tcPr>
            <w:tcW w:w="3895"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widowControl/>
              <w:spacing w:line="260" w:lineRule="exact"/>
              <w:jc w:val="both"/>
              <w:textAlignment w:val="center"/>
              <w:rPr>
                <w:rFonts w:hint="eastAsia" w:ascii="宋体" w:hAnsi="宋体" w:eastAsia="宋体" w:cs="宋体"/>
                <w:kern w:val="0"/>
                <w:sz w:val="18"/>
                <w:szCs w:val="18"/>
                <w:lang w:bidi="ar"/>
              </w:rPr>
            </w:pPr>
            <w:r>
              <w:rPr>
                <w:rFonts w:hint="eastAsia" w:ascii="宋体" w:hAnsi="宋体" w:eastAsia="宋体" w:cs="宋体"/>
                <w:color w:val="000000"/>
                <w:kern w:val="0"/>
                <w:sz w:val="18"/>
                <w:szCs w:val="18"/>
                <w:lang w:bidi="ar"/>
              </w:rPr>
              <w:t>《中华人民共和国水土保持法》第四十九条 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tc>
        <w:tc>
          <w:tcPr>
            <w:tcW w:w="2342"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pacing w:line="260" w:lineRule="exact"/>
              <w:jc w:val="both"/>
              <w:rPr>
                <w:rFonts w:hint="eastAsia" w:ascii="宋体" w:hAnsi="宋体" w:eastAsia="宋体" w:cs="宋体"/>
                <w:sz w:val="18"/>
                <w:szCs w:val="18"/>
              </w:rPr>
            </w:pPr>
            <w:r>
              <w:rPr>
                <w:rFonts w:hint="eastAsia" w:ascii="宋体" w:hAnsi="宋体" w:eastAsia="宋体" w:cs="宋体"/>
                <w:color w:val="000000"/>
                <w:kern w:val="0"/>
                <w:sz w:val="18"/>
                <w:szCs w:val="18"/>
                <w:lang w:bidi="ar"/>
              </w:rPr>
              <w:t>在禁止开垦坡度以上陡坡地开垦种植农作物，或者在禁止开垦、开发的植物保护带内开垦、开发行为的</w:t>
            </w:r>
          </w:p>
        </w:tc>
        <w:tc>
          <w:tcPr>
            <w:tcW w:w="62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轻微</w:t>
            </w:r>
          </w:p>
        </w:tc>
        <w:tc>
          <w:tcPr>
            <w:tcW w:w="306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40" w:lineRule="exact"/>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1.初次违法；</w:t>
            </w:r>
          </w:p>
          <w:p>
            <w:pPr>
              <w:widowControl/>
              <w:spacing w:line="240" w:lineRule="exact"/>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2.签署承诺书，开垦或者开发面积在500平方米以下的，及时采取退耕、恢复植被等补救措施，没有造成水土流失危害后果的；</w:t>
            </w:r>
          </w:p>
          <w:p>
            <w:pPr>
              <w:widowControl/>
              <w:spacing w:line="240" w:lineRule="exact"/>
              <w:jc w:val="both"/>
              <w:textAlignment w:val="center"/>
              <w:rPr>
                <w:rFonts w:hint="eastAsia" w:ascii="宋体" w:hAnsi="宋体" w:eastAsia="宋体" w:cs="宋体"/>
                <w:color w:val="000000"/>
                <w:kern w:val="0"/>
                <w:sz w:val="18"/>
                <w:szCs w:val="18"/>
                <w:lang w:bidi="ar"/>
              </w:rPr>
            </w:pPr>
            <w:r>
              <w:rPr>
                <w:rStyle w:val="21"/>
                <w:rFonts w:hint="eastAsia" w:ascii="宋体" w:hAnsi="宋体" w:eastAsia="宋体" w:cs="宋体"/>
                <w:sz w:val="18"/>
                <w:szCs w:val="18"/>
                <w:lang w:val="en-US" w:eastAsia="zh-CN" w:bidi="ar"/>
              </w:rPr>
              <w:t>（注：符合上述所有情形的，不予处罚，应将本次违法情况进行登记备案，以后再发生类似问题的将不再适用本条件）</w:t>
            </w:r>
          </w:p>
        </w:tc>
        <w:tc>
          <w:tcPr>
            <w:tcW w:w="236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60" w:lineRule="exact"/>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不予处罚</w:t>
            </w:r>
          </w:p>
        </w:tc>
        <w:tc>
          <w:tcPr>
            <w:tcW w:w="958"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widowControl/>
              <w:spacing w:line="260" w:lineRule="exact"/>
              <w:jc w:val="center"/>
              <w:textAlignment w:val="center"/>
              <w:rPr>
                <w:rFonts w:hint="eastAsia"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5" w:hRule="atLeast"/>
          <w:jc w:val="center"/>
        </w:trPr>
        <w:tc>
          <w:tcPr>
            <w:tcW w:w="510" w:type="dxa"/>
            <w:tcBorders>
              <w:left w:val="single" w:color="auto" w:sz="4" w:space="0"/>
              <w:right w:val="single" w:color="auto" w:sz="4" w:space="0"/>
            </w:tcBorders>
            <w:noWrap w:val="0"/>
            <w:tcMar>
              <w:top w:w="0" w:type="dxa"/>
              <w:left w:w="0" w:type="dxa"/>
              <w:bottom w:w="0" w:type="dxa"/>
              <w:right w:w="0" w:type="dxa"/>
            </w:tcMar>
            <w:vAlign w:val="center"/>
          </w:tcPr>
          <w:p>
            <w:pPr>
              <w:widowControl/>
              <w:spacing w:line="26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47</w:t>
            </w:r>
          </w:p>
        </w:tc>
        <w:tc>
          <w:tcPr>
            <w:tcW w:w="1260" w:type="dxa"/>
            <w:tcBorders>
              <w:left w:val="single" w:color="auto" w:sz="4" w:space="0"/>
              <w:right w:val="single" w:color="auto" w:sz="4" w:space="0"/>
            </w:tcBorders>
            <w:noWrap w:val="0"/>
            <w:tcMar>
              <w:top w:w="0" w:type="dxa"/>
              <w:left w:w="0" w:type="dxa"/>
              <w:bottom w:w="0" w:type="dxa"/>
              <w:right w:w="0" w:type="dxa"/>
            </w:tcMar>
            <w:vAlign w:val="center"/>
          </w:tcPr>
          <w:p>
            <w:pPr>
              <w:widowControl/>
              <w:spacing w:line="260" w:lineRule="exact"/>
              <w:jc w:val="both"/>
              <w:textAlignment w:val="center"/>
              <w:rPr>
                <w:rFonts w:hint="eastAsia" w:ascii="宋体" w:hAnsi="宋体" w:eastAsia="宋体" w:cs="宋体"/>
                <w:kern w:val="0"/>
                <w:sz w:val="18"/>
                <w:szCs w:val="18"/>
                <w:lang w:bidi="ar"/>
              </w:rPr>
            </w:pPr>
            <w:r>
              <w:rPr>
                <w:rFonts w:hint="eastAsia" w:ascii="宋体" w:hAnsi="宋体" w:eastAsia="宋体" w:cs="宋体"/>
                <w:color w:val="000000"/>
                <w:kern w:val="0"/>
                <w:sz w:val="18"/>
                <w:szCs w:val="18"/>
                <w:lang w:bidi="ar"/>
              </w:rPr>
              <w:t>对采集发菜，或者在水土流失重点预防区和重点治理区铲草皮、挖树兜、滥挖虫草、甘草、麻黄等行为的行政处罚</w:t>
            </w:r>
          </w:p>
        </w:tc>
        <w:tc>
          <w:tcPr>
            <w:tcW w:w="3895"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widowControl/>
              <w:spacing w:line="260" w:lineRule="exact"/>
              <w:jc w:val="both"/>
              <w:textAlignment w:val="center"/>
              <w:rPr>
                <w:rFonts w:hint="eastAsia" w:ascii="宋体" w:hAnsi="宋体" w:eastAsia="宋体" w:cs="宋体"/>
                <w:kern w:val="0"/>
                <w:sz w:val="18"/>
                <w:szCs w:val="18"/>
                <w:lang w:bidi="ar"/>
              </w:rPr>
            </w:pPr>
            <w:r>
              <w:rPr>
                <w:rFonts w:hint="eastAsia" w:ascii="宋体" w:hAnsi="宋体" w:eastAsia="宋体" w:cs="宋体"/>
                <w:color w:val="000000"/>
                <w:kern w:val="0"/>
                <w:sz w:val="18"/>
                <w:szCs w:val="18"/>
                <w:lang w:bidi="ar"/>
              </w:rPr>
              <w:t>《中华人民共和国水土保持法》第五十一条第一款 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w:t>
            </w:r>
          </w:p>
        </w:tc>
        <w:tc>
          <w:tcPr>
            <w:tcW w:w="2342"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pacing w:line="260" w:lineRule="exact"/>
              <w:jc w:val="both"/>
              <w:rPr>
                <w:rFonts w:hint="eastAsia" w:ascii="宋体" w:hAnsi="宋体" w:eastAsia="宋体" w:cs="宋体"/>
                <w:sz w:val="18"/>
                <w:szCs w:val="18"/>
              </w:rPr>
            </w:pPr>
            <w:r>
              <w:rPr>
                <w:rFonts w:hint="eastAsia" w:ascii="宋体" w:hAnsi="宋体" w:eastAsia="宋体" w:cs="宋体"/>
                <w:color w:val="000000"/>
                <w:kern w:val="0"/>
                <w:sz w:val="18"/>
                <w:szCs w:val="18"/>
                <w:lang w:bidi="ar"/>
              </w:rPr>
              <w:t>采集发菜，或者在水土流失重点预防区和重点治理区铲草皮、挖树兜、滥挖虫草、甘草、麻黄等行为的</w:t>
            </w:r>
          </w:p>
        </w:tc>
        <w:tc>
          <w:tcPr>
            <w:tcW w:w="62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轻微</w:t>
            </w:r>
          </w:p>
        </w:tc>
        <w:tc>
          <w:tcPr>
            <w:tcW w:w="306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60" w:lineRule="exact"/>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1.初次违法；</w:t>
            </w:r>
          </w:p>
          <w:p>
            <w:pPr>
              <w:widowControl/>
              <w:spacing w:line="260" w:lineRule="exact"/>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2.签署承诺书，开垦或者开发面积在500平方米以下的，及时采取退耕、恢复植被等补救措施，没有造成水土流失危害后果的；</w:t>
            </w:r>
          </w:p>
          <w:p>
            <w:pPr>
              <w:widowControl/>
              <w:spacing w:line="260" w:lineRule="exact"/>
              <w:jc w:val="both"/>
              <w:textAlignment w:val="center"/>
              <w:rPr>
                <w:rFonts w:hint="eastAsia" w:ascii="宋体" w:hAnsi="宋体" w:eastAsia="宋体" w:cs="宋体"/>
                <w:color w:val="000000"/>
                <w:kern w:val="0"/>
                <w:sz w:val="18"/>
                <w:szCs w:val="18"/>
                <w:lang w:bidi="ar"/>
              </w:rPr>
            </w:pPr>
            <w:r>
              <w:rPr>
                <w:rStyle w:val="21"/>
                <w:rFonts w:hint="eastAsia" w:ascii="宋体" w:hAnsi="宋体" w:eastAsia="宋体" w:cs="宋体"/>
                <w:sz w:val="18"/>
                <w:szCs w:val="18"/>
                <w:lang w:val="en-US" w:eastAsia="zh-CN" w:bidi="ar"/>
              </w:rPr>
              <w:t>（注：符合上述所有情形的，不予处罚，应将本次违法情况进行登记备案，以后再发生类似问题的将不再适用本条件）</w:t>
            </w:r>
          </w:p>
        </w:tc>
        <w:tc>
          <w:tcPr>
            <w:tcW w:w="236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60" w:lineRule="exact"/>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不予处罚</w:t>
            </w:r>
          </w:p>
        </w:tc>
        <w:tc>
          <w:tcPr>
            <w:tcW w:w="958"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widowControl/>
              <w:spacing w:line="260" w:lineRule="exact"/>
              <w:jc w:val="center"/>
              <w:textAlignment w:val="center"/>
              <w:rPr>
                <w:rFonts w:hint="eastAsia"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1" w:hRule="atLeast"/>
          <w:jc w:val="center"/>
        </w:trPr>
        <w:tc>
          <w:tcPr>
            <w:tcW w:w="510" w:type="dxa"/>
            <w:tcBorders>
              <w:left w:val="single" w:color="auto" w:sz="4" w:space="0"/>
              <w:right w:val="single" w:color="auto" w:sz="4" w:space="0"/>
            </w:tcBorders>
            <w:noWrap w:val="0"/>
            <w:tcMar>
              <w:top w:w="0" w:type="dxa"/>
              <w:left w:w="0" w:type="dxa"/>
              <w:bottom w:w="0" w:type="dxa"/>
              <w:right w:w="0" w:type="dxa"/>
            </w:tcMar>
            <w:vAlign w:val="center"/>
          </w:tcPr>
          <w:p>
            <w:pPr>
              <w:widowControl/>
              <w:spacing w:line="26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48</w:t>
            </w:r>
          </w:p>
        </w:tc>
        <w:tc>
          <w:tcPr>
            <w:tcW w:w="1260" w:type="dxa"/>
            <w:tcBorders>
              <w:left w:val="single" w:color="auto" w:sz="4" w:space="0"/>
              <w:right w:val="single" w:color="auto" w:sz="4" w:space="0"/>
            </w:tcBorders>
            <w:noWrap w:val="0"/>
            <w:tcMar>
              <w:top w:w="0" w:type="dxa"/>
              <w:left w:w="0" w:type="dxa"/>
              <w:bottom w:w="0" w:type="dxa"/>
              <w:right w:w="0" w:type="dxa"/>
            </w:tcMar>
            <w:vAlign w:val="center"/>
          </w:tcPr>
          <w:p>
            <w:pPr>
              <w:widowControl/>
              <w:spacing w:line="260" w:lineRule="exact"/>
              <w:jc w:val="both"/>
              <w:textAlignment w:val="center"/>
              <w:rPr>
                <w:rFonts w:hint="eastAsia" w:ascii="宋体" w:hAnsi="宋体" w:eastAsia="宋体" w:cs="宋体"/>
                <w:kern w:val="0"/>
                <w:sz w:val="18"/>
                <w:szCs w:val="18"/>
                <w:lang w:bidi="ar"/>
              </w:rPr>
            </w:pPr>
            <w:r>
              <w:rPr>
                <w:rFonts w:hint="eastAsia" w:ascii="宋体" w:hAnsi="宋体" w:eastAsia="宋体" w:cs="宋体"/>
                <w:color w:val="000000"/>
                <w:kern w:val="0"/>
                <w:sz w:val="18"/>
                <w:szCs w:val="18"/>
                <w:lang w:bidi="ar"/>
              </w:rPr>
              <w:t>对在林区采伐林木不依法采取防止水土流失措施，造成水土流失行为的行政处罚</w:t>
            </w:r>
          </w:p>
        </w:tc>
        <w:tc>
          <w:tcPr>
            <w:tcW w:w="3895"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widowControl/>
              <w:spacing w:line="260" w:lineRule="exact"/>
              <w:jc w:val="both"/>
              <w:textAlignment w:val="center"/>
              <w:rPr>
                <w:rFonts w:hint="eastAsia" w:ascii="宋体" w:hAnsi="宋体" w:eastAsia="宋体" w:cs="宋体"/>
                <w:kern w:val="0"/>
                <w:sz w:val="18"/>
                <w:szCs w:val="18"/>
                <w:lang w:bidi="ar"/>
              </w:rPr>
            </w:pPr>
            <w:r>
              <w:rPr>
                <w:rFonts w:hint="eastAsia" w:ascii="宋体" w:hAnsi="宋体" w:eastAsia="宋体" w:cs="宋体"/>
                <w:color w:val="000000"/>
                <w:kern w:val="0"/>
                <w:sz w:val="18"/>
                <w:szCs w:val="18"/>
                <w:lang w:bidi="ar"/>
              </w:rPr>
              <w:t>《中华人民共和国水土保持法》第五十二条 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w:t>
            </w:r>
          </w:p>
        </w:tc>
        <w:tc>
          <w:tcPr>
            <w:tcW w:w="2342"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pacing w:line="260" w:lineRule="exact"/>
              <w:jc w:val="both"/>
              <w:rPr>
                <w:rFonts w:hint="eastAsia" w:ascii="宋体" w:hAnsi="宋体" w:eastAsia="宋体" w:cs="宋体"/>
                <w:sz w:val="18"/>
                <w:szCs w:val="18"/>
              </w:rPr>
            </w:pPr>
            <w:r>
              <w:rPr>
                <w:rFonts w:hint="eastAsia" w:ascii="宋体" w:hAnsi="宋体" w:eastAsia="宋体" w:cs="宋体"/>
                <w:color w:val="000000"/>
                <w:kern w:val="0"/>
                <w:sz w:val="18"/>
                <w:szCs w:val="18"/>
                <w:lang w:bidi="ar"/>
              </w:rPr>
              <w:t>在林区采伐林木不依法采取防止水土流失措施，造成水土流失行为的</w:t>
            </w:r>
          </w:p>
        </w:tc>
        <w:tc>
          <w:tcPr>
            <w:tcW w:w="62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轻微</w:t>
            </w:r>
          </w:p>
        </w:tc>
        <w:tc>
          <w:tcPr>
            <w:tcW w:w="306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60" w:lineRule="exact"/>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1.初次违法；</w:t>
            </w:r>
          </w:p>
          <w:p>
            <w:pPr>
              <w:widowControl/>
              <w:spacing w:line="260" w:lineRule="exact"/>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2.签署承诺书，开垦或者开发面积在500平方米以下的，及时采取退耕、恢复植被等补救措施，没有造成水土流失危害后果的；</w:t>
            </w:r>
          </w:p>
          <w:p>
            <w:pPr>
              <w:widowControl/>
              <w:spacing w:line="260" w:lineRule="exact"/>
              <w:jc w:val="both"/>
              <w:textAlignment w:val="center"/>
              <w:rPr>
                <w:rFonts w:hint="eastAsia" w:ascii="宋体" w:hAnsi="宋体" w:eastAsia="宋体" w:cs="宋体"/>
                <w:color w:val="000000"/>
                <w:kern w:val="0"/>
                <w:sz w:val="18"/>
                <w:szCs w:val="18"/>
                <w:lang w:bidi="ar"/>
              </w:rPr>
            </w:pPr>
            <w:r>
              <w:rPr>
                <w:rStyle w:val="21"/>
                <w:rFonts w:hint="eastAsia" w:ascii="宋体" w:hAnsi="宋体" w:eastAsia="宋体" w:cs="宋体"/>
                <w:sz w:val="18"/>
                <w:szCs w:val="18"/>
                <w:lang w:val="en-US" w:eastAsia="zh-CN" w:bidi="ar"/>
              </w:rPr>
              <w:t>（注：符合上述所有情形的，不予处罚，应将本次违法情况进行登记备案，以后再发生类似问题的将不再适用本条件）</w:t>
            </w:r>
          </w:p>
        </w:tc>
        <w:tc>
          <w:tcPr>
            <w:tcW w:w="236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60" w:lineRule="exact"/>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不予处罚</w:t>
            </w:r>
          </w:p>
        </w:tc>
        <w:tc>
          <w:tcPr>
            <w:tcW w:w="958"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widowControl/>
              <w:spacing w:line="260" w:lineRule="exact"/>
              <w:jc w:val="center"/>
              <w:textAlignment w:val="center"/>
              <w:rPr>
                <w:rFonts w:hint="eastAsia"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0" w:hRule="atLeast"/>
          <w:jc w:val="center"/>
        </w:trPr>
        <w:tc>
          <w:tcPr>
            <w:tcW w:w="510" w:type="dxa"/>
            <w:tcBorders>
              <w:left w:val="single" w:color="auto" w:sz="4" w:space="0"/>
              <w:right w:val="single" w:color="auto" w:sz="4" w:space="0"/>
            </w:tcBorders>
            <w:noWrap w:val="0"/>
            <w:tcMar>
              <w:top w:w="0" w:type="dxa"/>
              <w:left w:w="0" w:type="dxa"/>
              <w:bottom w:w="0" w:type="dxa"/>
              <w:right w:w="0" w:type="dxa"/>
            </w:tcMar>
            <w:vAlign w:val="center"/>
          </w:tcPr>
          <w:p>
            <w:pPr>
              <w:widowControl/>
              <w:spacing w:line="26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51</w:t>
            </w:r>
          </w:p>
        </w:tc>
        <w:tc>
          <w:tcPr>
            <w:tcW w:w="1260" w:type="dxa"/>
            <w:tcBorders>
              <w:left w:val="single" w:color="auto" w:sz="4" w:space="0"/>
              <w:right w:val="single" w:color="auto" w:sz="4" w:space="0"/>
            </w:tcBorders>
            <w:noWrap w:val="0"/>
            <w:tcMar>
              <w:top w:w="0" w:type="dxa"/>
              <w:left w:w="0" w:type="dxa"/>
              <w:bottom w:w="0" w:type="dxa"/>
              <w:right w:w="0" w:type="dxa"/>
            </w:tcMar>
            <w:vAlign w:val="center"/>
          </w:tcPr>
          <w:p>
            <w:pPr>
              <w:widowControl/>
              <w:spacing w:line="260" w:lineRule="exact"/>
              <w:jc w:val="both"/>
              <w:textAlignment w:val="center"/>
              <w:rPr>
                <w:rFonts w:hint="eastAsia" w:ascii="宋体" w:hAnsi="宋体" w:eastAsia="宋体" w:cs="宋体"/>
                <w:kern w:val="0"/>
                <w:sz w:val="18"/>
                <w:szCs w:val="18"/>
                <w:lang w:bidi="ar"/>
              </w:rPr>
            </w:pPr>
            <w:r>
              <w:rPr>
                <w:rFonts w:hint="eastAsia" w:ascii="宋体" w:hAnsi="宋体" w:eastAsia="宋体" w:cs="宋体"/>
                <w:color w:val="000000"/>
                <w:kern w:val="0"/>
                <w:sz w:val="18"/>
                <w:szCs w:val="18"/>
                <w:lang w:bidi="ar"/>
              </w:rPr>
              <w:t>对在水土保持方案确定的专门存放地以外的区域倾倒砂、石、土、矸石、尾矿、废渣等行为的行政处罚</w:t>
            </w:r>
          </w:p>
        </w:tc>
        <w:tc>
          <w:tcPr>
            <w:tcW w:w="3895" w:type="dxa"/>
            <w:tcBorders>
              <w:left w:val="single" w:color="auto" w:sz="4" w:space="0"/>
              <w:right w:val="single" w:color="auto" w:sz="4" w:space="0"/>
            </w:tcBorders>
            <w:noWrap w:val="0"/>
            <w:tcMar>
              <w:top w:w="0" w:type="dxa"/>
              <w:left w:w="0" w:type="dxa"/>
              <w:bottom w:w="0" w:type="dxa"/>
              <w:right w:w="0" w:type="dxa"/>
            </w:tcMar>
            <w:vAlign w:val="center"/>
          </w:tcPr>
          <w:p>
            <w:pPr>
              <w:widowControl/>
              <w:spacing w:line="260" w:lineRule="exact"/>
              <w:jc w:val="both"/>
              <w:textAlignment w:val="center"/>
              <w:rPr>
                <w:rFonts w:hint="eastAsia" w:ascii="宋体" w:hAnsi="宋体" w:eastAsia="宋体" w:cs="宋体"/>
                <w:kern w:val="0"/>
                <w:sz w:val="18"/>
                <w:szCs w:val="18"/>
                <w:lang w:bidi="ar"/>
              </w:rPr>
            </w:pPr>
            <w:r>
              <w:rPr>
                <w:rFonts w:hint="eastAsia" w:ascii="宋体" w:hAnsi="宋体" w:eastAsia="宋体" w:cs="宋体"/>
                <w:color w:val="000000"/>
                <w:kern w:val="0"/>
                <w:sz w:val="18"/>
                <w:szCs w:val="18"/>
                <w:lang w:bidi="ar"/>
              </w:rPr>
              <w:t>《中华人民共和国水土保持法》第五十五条 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tc>
        <w:tc>
          <w:tcPr>
            <w:tcW w:w="2342" w:type="dxa"/>
            <w:tcBorders>
              <w:left w:val="single" w:color="auto" w:sz="4" w:space="0"/>
              <w:right w:val="single" w:color="auto" w:sz="4" w:space="0"/>
            </w:tcBorders>
            <w:noWrap w:val="0"/>
            <w:tcMar>
              <w:top w:w="0" w:type="dxa"/>
              <w:left w:w="0" w:type="dxa"/>
              <w:bottom w:w="0" w:type="dxa"/>
              <w:right w:w="0" w:type="dxa"/>
            </w:tcMar>
            <w:vAlign w:val="center"/>
          </w:tcPr>
          <w:p>
            <w:pPr>
              <w:spacing w:line="260" w:lineRule="exact"/>
              <w:jc w:val="both"/>
              <w:rPr>
                <w:rFonts w:hint="eastAsia" w:ascii="宋体" w:hAnsi="宋体" w:eastAsia="宋体" w:cs="宋体"/>
                <w:sz w:val="18"/>
                <w:szCs w:val="18"/>
              </w:rPr>
            </w:pPr>
            <w:r>
              <w:rPr>
                <w:rFonts w:hint="eastAsia" w:ascii="宋体" w:hAnsi="宋体" w:eastAsia="宋体" w:cs="宋体"/>
                <w:color w:val="000000"/>
                <w:kern w:val="0"/>
                <w:sz w:val="18"/>
                <w:szCs w:val="18"/>
                <w:lang w:bidi="ar"/>
              </w:rPr>
              <w:t>在水土保持方案确定的专门存放地以外的区域倾倒砂、石、土、矸石、尾矿、废渣等行为的</w:t>
            </w:r>
          </w:p>
        </w:tc>
        <w:tc>
          <w:tcPr>
            <w:tcW w:w="62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60" w:lineRule="exact"/>
              <w:jc w:val="center"/>
              <w:rPr>
                <w:rFonts w:hint="eastAsia" w:ascii="宋体" w:hAnsi="宋体" w:eastAsia="宋体" w:cs="宋体"/>
                <w:sz w:val="18"/>
                <w:szCs w:val="18"/>
              </w:rPr>
            </w:pPr>
            <w:r>
              <w:rPr>
                <w:rFonts w:hint="eastAsia" w:ascii="宋体" w:hAnsi="宋体" w:eastAsia="宋体" w:cs="宋体"/>
                <w:sz w:val="18"/>
                <w:szCs w:val="18"/>
              </w:rPr>
              <w:t>轻微</w:t>
            </w:r>
          </w:p>
        </w:tc>
        <w:tc>
          <w:tcPr>
            <w:tcW w:w="306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60" w:lineRule="exact"/>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1.初次违法；</w:t>
            </w:r>
          </w:p>
          <w:p>
            <w:pPr>
              <w:widowControl/>
              <w:spacing w:line="260" w:lineRule="exact"/>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2.签署承诺书，在水土保持方案确定的专门存放地以外的区域倾倒砂、石、土、矸石、尾矿、废渣等在五百立方米以下的，立即停止违法行为、限期清理，没有造成水土流失危害后果的；</w:t>
            </w:r>
          </w:p>
          <w:p>
            <w:pPr>
              <w:widowControl/>
              <w:spacing w:line="260" w:lineRule="exact"/>
              <w:jc w:val="both"/>
              <w:textAlignment w:val="center"/>
              <w:rPr>
                <w:rFonts w:hint="eastAsia" w:ascii="宋体" w:hAnsi="宋体" w:eastAsia="宋体" w:cs="宋体"/>
                <w:color w:val="000000"/>
                <w:kern w:val="0"/>
                <w:sz w:val="18"/>
                <w:szCs w:val="18"/>
                <w:lang w:bidi="ar"/>
              </w:rPr>
            </w:pPr>
            <w:r>
              <w:rPr>
                <w:rStyle w:val="21"/>
                <w:rFonts w:hint="eastAsia" w:ascii="宋体" w:hAnsi="宋体" w:eastAsia="宋体" w:cs="宋体"/>
                <w:sz w:val="18"/>
                <w:szCs w:val="18"/>
                <w:lang w:val="en-US" w:eastAsia="zh-CN" w:bidi="ar"/>
              </w:rPr>
              <w:t>（注：符合上述所有情形的，不予处罚，应将本次违法情况进行登记备案，以后再发生类似问题的将不再适用本条件）</w:t>
            </w:r>
          </w:p>
        </w:tc>
        <w:tc>
          <w:tcPr>
            <w:tcW w:w="236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60" w:lineRule="exact"/>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不予处罚</w:t>
            </w:r>
          </w:p>
        </w:tc>
        <w:tc>
          <w:tcPr>
            <w:tcW w:w="958"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widowControl/>
              <w:spacing w:line="260" w:lineRule="exact"/>
              <w:jc w:val="center"/>
              <w:textAlignment w:val="center"/>
              <w:rPr>
                <w:rFonts w:hint="eastAsia" w:ascii="宋体" w:hAnsi="宋体" w:eastAsia="宋体" w:cs="宋体"/>
                <w:color w:val="000000"/>
                <w:kern w:val="0"/>
                <w:sz w:val="18"/>
                <w:szCs w:val="18"/>
                <w:lang w:bidi="ar"/>
              </w:rPr>
            </w:pPr>
          </w:p>
        </w:tc>
      </w:tr>
    </w:tbl>
    <w:p>
      <w:pPr>
        <w:pStyle w:val="2"/>
        <w:spacing w:line="600" w:lineRule="exact"/>
        <w:rPr>
          <w:rFonts w:ascii="仿宋_GB2312" w:hAnsi="仿宋_GB2312" w:eastAsia="仿宋_GB2312" w:cs="仿宋_GB2312"/>
        </w:rPr>
        <w:sectPr>
          <w:footerReference r:id="rId7" w:type="default"/>
          <w:footerReference r:id="rId8" w:type="even"/>
          <w:pgSz w:w="16838" w:h="11906" w:orient="landscape"/>
          <w:pgMar w:top="1134" w:right="1134" w:bottom="1134" w:left="1134" w:header="851" w:footer="964" w:gutter="0"/>
          <w:pgNumType w:fmt="decimal"/>
          <w:cols w:space="0" w:num="1"/>
          <w:rtlGutter w:val="0"/>
          <w:docGrid w:type="lines" w:linePitch="312" w:charSpace="0"/>
        </w:sectPr>
      </w:pPr>
    </w:p>
    <w:p>
      <w:pPr>
        <w:spacing w:line="60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第四部分  工程质量、安全生产、招投标等类</w:t>
      </w:r>
    </w:p>
    <w:tbl>
      <w:tblPr>
        <w:tblStyle w:val="14"/>
        <w:tblW w:w="154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86"/>
        <w:gridCol w:w="1283"/>
        <w:gridCol w:w="6711"/>
        <w:gridCol w:w="1519"/>
        <w:gridCol w:w="542"/>
        <w:gridCol w:w="1739"/>
        <w:gridCol w:w="2702"/>
        <w:gridCol w:w="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blHeader/>
          <w:jc w:val="center"/>
        </w:trPr>
        <w:tc>
          <w:tcPr>
            <w:tcW w:w="486"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序号</w:t>
            </w:r>
          </w:p>
        </w:tc>
        <w:tc>
          <w:tcPr>
            <w:tcW w:w="12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违法行为</w:t>
            </w:r>
          </w:p>
        </w:tc>
        <w:tc>
          <w:tcPr>
            <w:tcW w:w="6711"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法定依据</w:t>
            </w:r>
          </w:p>
        </w:tc>
        <w:tc>
          <w:tcPr>
            <w:tcW w:w="151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违法情形</w:t>
            </w:r>
          </w:p>
        </w:tc>
        <w:tc>
          <w:tcPr>
            <w:tcW w:w="54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裁量</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幅度</w:t>
            </w:r>
          </w:p>
        </w:tc>
        <w:tc>
          <w:tcPr>
            <w:tcW w:w="173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适用条件</w:t>
            </w:r>
          </w:p>
        </w:tc>
        <w:tc>
          <w:tcPr>
            <w:tcW w:w="270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裁量基准</w:t>
            </w:r>
          </w:p>
        </w:tc>
        <w:tc>
          <w:tcPr>
            <w:tcW w:w="49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580" w:hRule="atLeast"/>
          <w:jc w:val="center"/>
        </w:trPr>
        <w:tc>
          <w:tcPr>
            <w:tcW w:w="486"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shd w:val="clear" w:color="auto" w:fill="auto"/>
                <w:vertAlign w:val="baseline"/>
                <w:lang w:val="en-US" w:eastAsia="zh-CN"/>
              </w:rPr>
            </w:pPr>
            <w:r>
              <w:rPr>
                <w:rFonts w:hint="eastAsia" w:ascii="宋体" w:hAnsi="宋体" w:eastAsia="宋体" w:cs="宋体"/>
                <w:color w:val="000000"/>
                <w:sz w:val="18"/>
                <w:szCs w:val="18"/>
                <w:shd w:val="clear" w:color="auto" w:fill="auto"/>
                <w:vertAlign w:val="baseline"/>
                <w:lang w:val="en-US" w:eastAsia="zh-CN"/>
              </w:rPr>
              <w:t>98</w:t>
            </w:r>
          </w:p>
        </w:tc>
        <w:tc>
          <w:tcPr>
            <w:tcW w:w="1283" w:type="dxa"/>
            <w:noWrap w:val="0"/>
            <w:tcMar>
              <w:top w:w="0" w:type="dxa"/>
              <w:left w:w="0" w:type="dxa"/>
              <w:bottom w:w="0" w:type="dxa"/>
              <w:right w:w="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对水利领域生产经营单位的其他负责人和安全生产管理人员未履行本法规定的安全生产管理职责等行为的行政处罚</w:t>
            </w:r>
          </w:p>
        </w:tc>
        <w:tc>
          <w:tcPr>
            <w:tcW w:w="6711"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《中华人民共和国安全生产法》第九十六条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151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生产经营单位的其他负责人和安全生产管理人员未履行本法规定的安全生产管理职责的</w:t>
            </w:r>
          </w:p>
        </w:tc>
        <w:tc>
          <w:tcPr>
            <w:tcW w:w="54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轻微</w:t>
            </w:r>
          </w:p>
        </w:tc>
        <w:tc>
          <w:tcPr>
            <w:tcW w:w="173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z w:val="18"/>
                <w:szCs w:val="18"/>
                <w:vertAlign w:val="baseline"/>
              </w:rPr>
              <w:t>未履行本条规定的第（一）项职责的；一般行业生产经营单位；初次违法；在限定期限内完成整改；未造成危害后果</w:t>
            </w:r>
          </w:p>
        </w:tc>
        <w:tc>
          <w:tcPr>
            <w:tcW w:w="270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2"/>
                <w:sz w:val="18"/>
                <w:szCs w:val="18"/>
                <w:vertAlign w:val="baseline"/>
                <w:lang w:val="en-US" w:eastAsia="zh-CN" w:bidi="ar-SA"/>
              </w:rPr>
              <w:t>不予处罚</w:t>
            </w:r>
          </w:p>
        </w:tc>
        <w:tc>
          <w:tcPr>
            <w:tcW w:w="49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51" w:hRule="atLeast"/>
          <w:jc w:val="center"/>
        </w:trPr>
        <w:tc>
          <w:tcPr>
            <w:tcW w:w="486"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shd w:val="clear" w:color="auto" w:fill="auto"/>
                <w:vertAlign w:val="baseline"/>
                <w:lang w:val="en-US" w:eastAsia="zh-CN"/>
              </w:rPr>
            </w:pPr>
            <w:r>
              <w:rPr>
                <w:rFonts w:hint="eastAsia" w:ascii="宋体" w:hAnsi="宋体" w:eastAsia="宋体" w:cs="宋体"/>
                <w:color w:val="000000"/>
                <w:sz w:val="18"/>
                <w:szCs w:val="18"/>
                <w:shd w:val="clear" w:color="auto" w:fill="auto"/>
                <w:vertAlign w:val="baseline"/>
                <w:lang w:val="en-US" w:eastAsia="zh-CN"/>
              </w:rPr>
              <w:t>99</w:t>
            </w:r>
          </w:p>
        </w:tc>
        <w:tc>
          <w:tcPr>
            <w:tcW w:w="1283" w:type="dxa"/>
            <w:vMerge w:val="restart"/>
            <w:noWrap w:val="0"/>
            <w:tcMar>
              <w:top w:w="0" w:type="dxa"/>
              <w:left w:w="0" w:type="dxa"/>
              <w:bottom w:w="0" w:type="dxa"/>
              <w:right w:w="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对水利领域生产经营单位未按照规定设置安全生产管理机构或者配备安全生产管理人员、注册安全工程师，主要负责人和安全生产管理人员未按照规定经考核合格等行为的行政处罚</w:t>
            </w:r>
          </w:p>
        </w:tc>
        <w:tc>
          <w:tcPr>
            <w:tcW w:w="6711"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《中华人民共和国安全生产法》第九十七条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（一）未按照规定设置安全生产管理机构或者配备安全生产管理人员、注册安全工程师的；</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（二）危险物品的生产、经营、储存、装卸单位以及矿山、金属冶炼、建筑施工、运输单位的主要负责人和安全生产管理人员未按照规定经考核合格的；</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（三）未按照规定对从业人员、被派遣劳动者、实习学生进行安全生产教育和培训，或者未按照规定如实告知有关的安全生产事项的；</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（四）未如实记录安全生产教育和培训情况的；</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（五）未将事故隐患排查治理情况如实记录或者未向从业人员通报的；</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（六）未按照规定制定生产安全事故应急救援预案或者未定期组织演练的；</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（七）特种作业人员未按照规定经专门的安全作业培训并取得相应资格，上岗作业的。</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《建设工程安全生产管理条例》第六十二条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（一）未设立安全生产管理机构、配备专职安全生产管理人员或者分部分项工程施工时无专职安全生产管理人员现场监督的；</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（二）施工单位的主要负责人、项目负责人、专职安全生产管理人员、作业人员或者特种作业人员，未经安全教育培训或者经考核不合格即从事相关工作的；</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（三）未在施工现场的危险部位设置明显的安全警示标志，或者未按照国家有关规定在施工现场设置消防通道、消防水源、配备消防设施和灭火器材的；</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（四）未向作业人员提供安全防护用具和安全防护服装的；</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（五）未按照规定在施工起重机械和整体提升脚手架、模板等自升式架设设施验收合格后登记的；</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（六）使用国家明令淘汰、禁止使用的危及施工安全的工艺、设备、材料的。</w:t>
            </w:r>
          </w:p>
        </w:tc>
        <w:tc>
          <w:tcPr>
            <w:tcW w:w="151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水利领域生产经营单位未按照规定设置安全生产管理机构或者配备安全生产管理人员、注册安全工程师的</w:t>
            </w:r>
          </w:p>
        </w:tc>
        <w:tc>
          <w:tcPr>
            <w:tcW w:w="54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轻微</w:t>
            </w:r>
          </w:p>
        </w:tc>
        <w:tc>
          <w:tcPr>
            <w:tcW w:w="173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z w:val="18"/>
                <w:szCs w:val="18"/>
                <w:vertAlign w:val="baseline"/>
              </w:rPr>
              <w:t>1.原来已按规定配备安全生产管理人员，但因人员离职（不含退休、内部调动），致使人员配备不足，首次被发现的；</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z w:val="18"/>
                <w:szCs w:val="18"/>
                <w:vertAlign w:val="baseline"/>
              </w:rPr>
              <w:t>2.当事人配合检查并按规定时间改正的；</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z w:val="18"/>
                <w:szCs w:val="18"/>
                <w:vertAlign w:val="baseline"/>
              </w:rPr>
              <w:t>3.没有造成危害后果的；</w:t>
            </w:r>
          </w:p>
          <w:p>
            <w:pPr>
              <w:pStyle w:val="2"/>
              <w:spacing w:line="280" w:lineRule="exact"/>
              <w:rPr>
                <w:rFonts w:hint="eastAsia" w:ascii="宋体" w:hAnsi="宋体" w:eastAsia="宋体" w:cs="宋体"/>
                <w:sz w:val="18"/>
                <w:szCs w:val="18"/>
              </w:rPr>
            </w:pPr>
            <w:r>
              <w:rPr>
                <w:rStyle w:val="21"/>
                <w:rFonts w:hint="eastAsia" w:ascii="宋体" w:hAnsi="宋体" w:eastAsia="宋体" w:cs="宋体"/>
                <w:sz w:val="18"/>
                <w:szCs w:val="18"/>
                <w:lang w:val="en-US" w:eastAsia="zh-CN" w:bidi="ar"/>
              </w:rPr>
              <w:t>（注：符合上述所有情形的，不予处罚，应将本次违法情况进行登记备案，以后再发生类似问题的将不再适用本条件）</w:t>
            </w:r>
          </w:p>
        </w:tc>
        <w:tc>
          <w:tcPr>
            <w:tcW w:w="270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2"/>
                <w:sz w:val="18"/>
                <w:szCs w:val="18"/>
                <w:vertAlign w:val="baseline"/>
                <w:lang w:val="en-US" w:eastAsia="zh-CN" w:bidi="ar-SA"/>
              </w:rPr>
              <w:t>不予处罚</w:t>
            </w:r>
          </w:p>
        </w:tc>
        <w:tc>
          <w:tcPr>
            <w:tcW w:w="492"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49" w:hRule="atLeast"/>
          <w:jc w:val="center"/>
        </w:trPr>
        <w:tc>
          <w:tcPr>
            <w:tcW w:w="486"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shd w:val="clear" w:color="auto" w:fill="auto"/>
                <w:vertAlign w:val="baseline"/>
                <w:lang w:val="en-US" w:eastAsia="zh-CN"/>
              </w:rPr>
            </w:pPr>
          </w:p>
        </w:tc>
        <w:tc>
          <w:tcPr>
            <w:tcW w:w="1283" w:type="dxa"/>
            <w:vMerge w:val="continue"/>
            <w:noWrap w:val="0"/>
            <w:tcMar>
              <w:top w:w="0" w:type="dxa"/>
              <w:left w:w="0" w:type="dxa"/>
              <w:bottom w:w="0" w:type="dxa"/>
              <w:right w:w="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p>
        </w:tc>
        <w:tc>
          <w:tcPr>
            <w:tcW w:w="6711"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p>
        </w:tc>
        <w:tc>
          <w:tcPr>
            <w:tcW w:w="151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生产经营单位未按照规定对从业人员、被派遣劳动者、实习学生进行安全生产教育和培训的</w:t>
            </w:r>
          </w:p>
        </w:tc>
        <w:tc>
          <w:tcPr>
            <w:tcW w:w="54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轻微</w:t>
            </w:r>
          </w:p>
        </w:tc>
        <w:tc>
          <w:tcPr>
            <w:tcW w:w="173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z w:val="18"/>
                <w:szCs w:val="18"/>
                <w:vertAlign w:val="baseline"/>
              </w:rPr>
              <w:t>1.有证据证明对从业人员、被派遣劳动者、实习学生进行了安全生产教育和培训，但形式或内容不完全符合规定，首次被发现；</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pacing w:val="-6"/>
                <w:sz w:val="18"/>
                <w:szCs w:val="18"/>
                <w:vertAlign w:val="baseline"/>
              </w:rPr>
              <w:t>2.当事人配合检查并按规定时间改正的</w:t>
            </w:r>
            <w:r>
              <w:rPr>
                <w:rFonts w:hint="eastAsia" w:ascii="宋体" w:hAnsi="宋体" w:eastAsia="宋体" w:cs="宋体"/>
                <w:color w:val="000000"/>
                <w:sz w:val="18"/>
                <w:szCs w:val="18"/>
                <w:vertAlign w:val="baseline"/>
              </w:rPr>
              <w:t>；</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z w:val="18"/>
                <w:szCs w:val="18"/>
                <w:vertAlign w:val="baseline"/>
              </w:rPr>
              <w:t>3.没有造成危害后果的；</w:t>
            </w:r>
            <w:r>
              <w:rPr>
                <w:rFonts w:hint="eastAsia" w:ascii="宋体" w:hAnsi="宋体" w:eastAsia="宋体" w:cs="宋体"/>
                <w:sz w:val="18"/>
                <w:szCs w:val="18"/>
                <w:vertAlign w:val="baseline"/>
                <w:lang w:val="en-US" w:eastAsia="zh-CN"/>
              </w:rPr>
              <w:t>一般</w:t>
            </w:r>
          </w:p>
          <w:p>
            <w:pPr>
              <w:pStyle w:val="2"/>
              <w:spacing w:line="240" w:lineRule="exact"/>
              <w:rPr>
                <w:rStyle w:val="21"/>
                <w:rFonts w:hint="eastAsia" w:ascii="宋体" w:hAnsi="宋体" w:eastAsia="宋体" w:cs="宋体"/>
                <w:sz w:val="18"/>
                <w:szCs w:val="18"/>
                <w:lang w:val="en-US" w:eastAsia="zh-CN" w:bidi="ar"/>
              </w:rPr>
            </w:pPr>
            <w:r>
              <w:rPr>
                <w:rStyle w:val="21"/>
                <w:rFonts w:hint="eastAsia" w:ascii="宋体" w:hAnsi="宋体" w:eastAsia="宋体" w:cs="宋体"/>
                <w:sz w:val="18"/>
                <w:szCs w:val="18"/>
                <w:lang w:val="en-US" w:eastAsia="zh-CN" w:bidi="ar"/>
              </w:rPr>
              <w:t>（注：符合上述所有情形的，不予处罚，应将本次违法情况进行登记备案，以后再发生类似问题的将不再适用本条件）</w:t>
            </w:r>
          </w:p>
        </w:tc>
        <w:tc>
          <w:tcPr>
            <w:tcW w:w="270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2"/>
                <w:sz w:val="18"/>
                <w:szCs w:val="18"/>
                <w:vertAlign w:val="baseline"/>
                <w:lang w:val="en-US" w:eastAsia="zh-CN" w:bidi="ar-SA"/>
              </w:rPr>
              <w:t>不予处罚</w:t>
            </w:r>
          </w:p>
        </w:tc>
        <w:tc>
          <w:tcPr>
            <w:tcW w:w="492"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055" w:hRule="atLeast"/>
          <w:jc w:val="center"/>
        </w:trPr>
        <w:tc>
          <w:tcPr>
            <w:tcW w:w="486"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shd w:val="clear" w:color="auto" w:fill="auto"/>
                <w:vertAlign w:val="baseline"/>
                <w:lang w:val="en-US" w:eastAsia="zh-CN"/>
              </w:rPr>
            </w:pPr>
          </w:p>
        </w:tc>
        <w:tc>
          <w:tcPr>
            <w:tcW w:w="1283" w:type="dxa"/>
            <w:vMerge w:val="continue"/>
            <w:noWrap w:val="0"/>
            <w:tcMar>
              <w:top w:w="0" w:type="dxa"/>
              <w:left w:w="0" w:type="dxa"/>
              <w:bottom w:w="0" w:type="dxa"/>
              <w:right w:w="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p>
        </w:tc>
        <w:tc>
          <w:tcPr>
            <w:tcW w:w="6711"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p>
        </w:tc>
        <w:tc>
          <w:tcPr>
            <w:tcW w:w="151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生产经营单位未如实记录安全生产教育和培训情况的</w:t>
            </w:r>
          </w:p>
        </w:tc>
        <w:tc>
          <w:tcPr>
            <w:tcW w:w="54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轻微</w:t>
            </w:r>
          </w:p>
        </w:tc>
        <w:tc>
          <w:tcPr>
            <w:tcW w:w="173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z w:val="18"/>
                <w:szCs w:val="18"/>
                <w:vertAlign w:val="baseline"/>
              </w:rPr>
              <w:t>1.有证据证明已按规定进行了安全生产教育和培训，但未如实记录（故意对记录造假的除外），首次被发现；</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z w:val="18"/>
                <w:szCs w:val="18"/>
                <w:vertAlign w:val="baseline"/>
              </w:rPr>
              <w:t>2.当事人配合检查并按规定时间改正的；</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z w:val="18"/>
                <w:szCs w:val="18"/>
                <w:vertAlign w:val="baseline"/>
              </w:rPr>
              <w:t>3.没有造成危害后果的；</w:t>
            </w:r>
          </w:p>
          <w:p>
            <w:pPr>
              <w:pStyle w:val="2"/>
              <w:spacing w:line="240" w:lineRule="exact"/>
              <w:rPr>
                <w:rStyle w:val="21"/>
                <w:rFonts w:hint="eastAsia" w:ascii="宋体" w:hAnsi="宋体" w:eastAsia="宋体" w:cs="宋体"/>
                <w:sz w:val="18"/>
                <w:szCs w:val="18"/>
                <w:lang w:val="en-US" w:eastAsia="zh-CN" w:bidi="ar"/>
              </w:rPr>
            </w:pPr>
            <w:r>
              <w:rPr>
                <w:rStyle w:val="21"/>
                <w:rFonts w:hint="eastAsia" w:ascii="宋体" w:hAnsi="宋体" w:eastAsia="宋体" w:cs="宋体"/>
                <w:sz w:val="18"/>
                <w:szCs w:val="18"/>
                <w:lang w:val="en-US" w:eastAsia="zh-CN" w:bidi="ar"/>
              </w:rPr>
              <w:t>（注：符合上述所有情形的，不予处罚，应将本次违法情况进行登记备案，以后再发生类似问题的将不再适用本条件）</w:t>
            </w:r>
          </w:p>
        </w:tc>
        <w:tc>
          <w:tcPr>
            <w:tcW w:w="270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2"/>
                <w:sz w:val="18"/>
                <w:szCs w:val="18"/>
                <w:vertAlign w:val="baseline"/>
                <w:lang w:val="en-US" w:eastAsia="zh-CN" w:bidi="ar-SA"/>
              </w:rPr>
              <w:t>不予处罚</w:t>
            </w:r>
          </w:p>
        </w:tc>
        <w:tc>
          <w:tcPr>
            <w:tcW w:w="492"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35" w:hRule="atLeast"/>
          <w:jc w:val="center"/>
        </w:trPr>
        <w:tc>
          <w:tcPr>
            <w:tcW w:w="486"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shd w:val="clear" w:color="auto" w:fill="auto"/>
                <w:vertAlign w:val="baseline"/>
                <w:lang w:val="en-US" w:eastAsia="zh-CN"/>
              </w:rPr>
            </w:pPr>
          </w:p>
        </w:tc>
        <w:tc>
          <w:tcPr>
            <w:tcW w:w="1283" w:type="dxa"/>
            <w:vMerge w:val="continue"/>
            <w:noWrap w:val="0"/>
            <w:tcMar>
              <w:top w:w="0" w:type="dxa"/>
              <w:left w:w="0" w:type="dxa"/>
              <w:bottom w:w="0" w:type="dxa"/>
              <w:right w:w="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p>
        </w:tc>
        <w:tc>
          <w:tcPr>
            <w:tcW w:w="6711"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p>
        </w:tc>
        <w:tc>
          <w:tcPr>
            <w:tcW w:w="151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生产经营单位未将事故隐患排查治理情况如实记录或者未向从业人员通报的</w:t>
            </w:r>
          </w:p>
        </w:tc>
        <w:tc>
          <w:tcPr>
            <w:tcW w:w="54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轻微</w:t>
            </w:r>
          </w:p>
        </w:tc>
        <w:tc>
          <w:tcPr>
            <w:tcW w:w="173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z w:val="18"/>
                <w:szCs w:val="18"/>
                <w:vertAlign w:val="baseline"/>
              </w:rPr>
              <w:t>1.有证据证明已开展了隐患排查治理工作，查出的隐患已经消除或已采取管控措施，</w:t>
            </w:r>
            <w:r>
              <w:rPr>
                <w:rFonts w:hint="eastAsia" w:ascii="宋体" w:hAnsi="宋体" w:eastAsia="宋体" w:cs="宋体"/>
                <w:color w:val="000000"/>
                <w:sz w:val="18"/>
                <w:szCs w:val="18"/>
                <w:vertAlign w:val="baseline"/>
                <w:lang w:val="en-US" w:eastAsia="zh-CN"/>
              </w:rPr>
              <w:t>未将事故隐患排查治理情况如实记录或者未向从业人员通报的</w:t>
            </w:r>
            <w:r>
              <w:rPr>
                <w:rFonts w:hint="eastAsia" w:ascii="宋体" w:hAnsi="宋体" w:eastAsia="宋体" w:cs="宋体"/>
                <w:color w:val="000000"/>
                <w:sz w:val="18"/>
                <w:szCs w:val="18"/>
                <w:vertAlign w:val="baseline"/>
              </w:rPr>
              <w:t>（故意对记录造假的除外），首次被发现；</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spacing w:val="-6"/>
                <w:sz w:val="18"/>
                <w:szCs w:val="18"/>
                <w:vertAlign w:val="baseline"/>
              </w:rPr>
            </w:pPr>
            <w:r>
              <w:rPr>
                <w:rFonts w:hint="eastAsia" w:ascii="宋体" w:hAnsi="宋体" w:eastAsia="宋体" w:cs="宋体"/>
                <w:color w:val="000000"/>
                <w:spacing w:val="-6"/>
                <w:sz w:val="18"/>
                <w:szCs w:val="18"/>
                <w:vertAlign w:val="baseline"/>
              </w:rPr>
              <w:t>2.当事人配合检查并按规定时间改正的；</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z w:val="18"/>
                <w:szCs w:val="18"/>
                <w:vertAlign w:val="baseline"/>
              </w:rPr>
              <w:t>3.没有造成危害后果的；</w:t>
            </w:r>
          </w:p>
          <w:p>
            <w:pPr>
              <w:pStyle w:val="2"/>
              <w:spacing w:line="240" w:lineRule="exact"/>
              <w:rPr>
                <w:rFonts w:hint="eastAsia" w:ascii="宋体" w:hAnsi="宋体" w:eastAsia="宋体" w:cs="宋体"/>
                <w:sz w:val="18"/>
                <w:szCs w:val="18"/>
              </w:rPr>
            </w:pPr>
            <w:r>
              <w:rPr>
                <w:rStyle w:val="21"/>
                <w:rFonts w:hint="eastAsia" w:ascii="宋体" w:hAnsi="宋体" w:eastAsia="宋体" w:cs="宋体"/>
                <w:sz w:val="18"/>
                <w:szCs w:val="18"/>
                <w:lang w:val="en-US" w:eastAsia="zh-CN" w:bidi="ar"/>
              </w:rPr>
              <w:t>（注：符合上述所有情形的，不予处罚，应将本次违法情况进行登记备案，以后再发生类似问题的将不再适用本条件）</w:t>
            </w:r>
          </w:p>
        </w:tc>
        <w:tc>
          <w:tcPr>
            <w:tcW w:w="270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2"/>
                <w:sz w:val="18"/>
                <w:szCs w:val="18"/>
                <w:vertAlign w:val="baseline"/>
                <w:lang w:val="en-US" w:eastAsia="zh-CN" w:bidi="ar-SA"/>
              </w:rPr>
              <w:t>不予处罚</w:t>
            </w:r>
          </w:p>
        </w:tc>
        <w:tc>
          <w:tcPr>
            <w:tcW w:w="49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405" w:hRule="atLeast"/>
          <w:jc w:val="center"/>
        </w:trPr>
        <w:tc>
          <w:tcPr>
            <w:tcW w:w="486"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shd w:val="clear" w:color="auto" w:fill="auto"/>
                <w:vertAlign w:val="baseline"/>
                <w:lang w:val="en-US" w:eastAsia="zh-CN"/>
              </w:rPr>
            </w:pPr>
          </w:p>
        </w:tc>
        <w:tc>
          <w:tcPr>
            <w:tcW w:w="1283" w:type="dxa"/>
            <w:vMerge w:val="continue"/>
            <w:noWrap w:val="0"/>
            <w:tcMar>
              <w:top w:w="0" w:type="dxa"/>
              <w:left w:w="0" w:type="dxa"/>
              <w:bottom w:w="0" w:type="dxa"/>
              <w:right w:w="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p>
        </w:tc>
        <w:tc>
          <w:tcPr>
            <w:tcW w:w="6711"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p>
        </w:tc>
        <w:tc>
          <w:tcPr>
            <w:tcW w:w="151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生产经营单位未按照规定制定生产安全事故应急救援预案或者未定期组织演练的</w:t>
            </w:r>
          </w:p>
        </w:tc>
        <w:tc>
          <w:tcPr>
            <w:tcW w:w="54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轻微</w:t>
            </w:r>
          </w:p>
        </w:tc>
        <w:tc>
          <w:tcPr>
            <w:tcW w:w="173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z w:val="18"/>
                <w:szCs w:val="18"/>
                <w:vertAlign w:val="baseline"/>
              </w:rPr>
              <w:t>1.已制定应急救援预案，组织开展应急救援预案演练，但预案编制不规范，演练频次不符合规定要求，首次被发现；</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z w:val="18"/>
                <w:szCs w:val="18"/>
                <w:vertAlign w:val="baseline"/>
              </w:rPr>
              <w:t>2.当事人配合检查并按规定时间改正的；</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z w:val="18"/>
                <w:szCs w:val="18"/>
                <w:vertAlign w:val="baseline"/>
              </w:rPr>
              <w:t>3.没有造成危害后果的；</w:t>
            </w:r>
          </w:p>
          <w:p>
            <w:pPr>
              <w:pStyle w:val="2"/>
              <w:spacing w:line="260" w:lineRule="exact"/>
              <w:rPr>
                <w:rFonts w:hint="eastAsia" w:ascii="宋体" w:hAnsi="宋体" w:eastAsia="宋体" w:cs="宋体"/>
                <w:sz w:val="18"/>
                <w:szCs w:val="18"/>
              </w:rPr>
            </w:pPr>
            <w:r>
              <w:rPr>
                <w:rStyle w:val="21"/>
                <w:rFonts w:hint="eastAsia" w:ascii="宋体" w:hAnsi="宋体" w:eastAsia="宋体" w:cs="宋体"/>
                <w:sz w:val="18"/>
                <w:szCs w:val="18"/>
                <w:lang w:val="en-US" w:eastAsia="zh-CN" w:bidi="ar"/>
              </w:rPr>
              <w:t>（注：符合上述所有情形的，不予处罚，应将本次违法情况进行登记备案，以后再发生类似问题的将不再适用本条件）</w:t>
            </w:r>
          </w:p>
        </w:tc>
        <w:tc>
          <w:tcPr>
            <w:tcW w:w="270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2"/>
                <w:sz w:val="18"/>
                <w:szCs w:val="18"/>
                <w:vertAlign w:val="baseline"/>
                <w:lang w:val="en-US" w:eastAsia="zh-CN" w:bidi="ar-SA"/>
              </w:rPr>
              <w:t>不予处罚</w:t>
            </w:r>
          </w:p>
        </w:tc>
        <w:tc>
          <w:tcPr>
            <w:tcW w:w="49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590" w:hRule="atLeast"/>
          <w:jc w:val="center"/>
        </w:trPr>
        <w:tc>
          <w:tcPr>
            <w:tcW w:w="486"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sz w:val="18"/>
                <w:szCs w:val="18"/>
                <w:shd w:val="clear" w:color="auto" w:fill="auto"/>
                <w:vertAlign w:val="baseline"/>
                <w:lang w:val="en-US" w:eastAsia="zh-CN"/>
              </w:rPr>
            </w:pPr>
            <w:r>
              <w:rPr>
                <w:rFonts w:hint="eastAsia" w:ascii="宋体" w:hAnsi="宋体" w:eastAsia="宋体" w:cs="宋体"/>
                <w:color w:val="000000"/>
                <w:sz w:val="18"/>
                <w:szCs w:val="18"/>
                <w:shd w:val="clear" w:color="auto" w:fill="auto"/>
                <w:vertAlign w:val="baseline"/>
                <w:lang w:val="en-US" w:eastAsia="zh-CN"/>
              </w:rPr>
              <w:t>100</w:t>
            </w:r>
          </w:p>
        </w:tc>
        <w:tc>
          <w:tcPr>
            <w:tcW w:w="1283" w:type="dxa"/>
            <w:vMerge w:val="restart"/>
            <w:noWrap w:val="0"/>
            <w:tcMar>
              <w:top w:w="0" w:type="dxa"/>
              <w:left w:w="0" w:type="dxa"/>
              <w:bottom w:w="0" w:type="dxa"/>
              <w:right w:w="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对水利领域生产经营单位未在有较大危险因素的生产经营场所和有关设施、设备上设置明显的安全警示标志，安全设备的安装、使用、检测、改造和报废不符合国家标准或者行业标准等行为的行政处罚</w:t>
            </w:r>
          </w:p>
        </w:tc>
        <w:tc>
          <w:tcPr>
            <w:tcW w:w="6711"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（一）未在有较大危险因素的生产经营场所和有关设施、设备上设置明显的安全警示标志的；</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（二）安全设备的安装、使用、检测、改造和报废不符合国家标准或者行业标准的；</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（三）未对安全设备进行经常性维护、保养和定期检测的；</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（四）关闭、破坏直接关系生产安全的监控、报警、防护、救生设备、设施，或者篡改、隐瞒、销毁其相关数据、信息的；</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（五）未为从业人员提供符合国家标准或者行业标准的劳动防护用品的；</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（六）危险物品的容器、运输工具，以及涉及人身安全、危险性较大的海洋石油开采特种设备和矿山井下特种设备未经具有专业资质的机构检测、检验合格，取得安全使用证或者安全标志，投入使用的；</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（七）使用应当淘汰的危及生产安全的工艺、设备的；</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（八）餐饮等行业的生产经营单位使用燃气未安装可燃气体报警装置的。</w:t>
            </w:r>
          </w:p>
        </w:tc>
        <w:tc>
          <w:tcPr>
            <w:tcW w:w="151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水利领域生产经营单位未在有较大危险因素的生产经营场所和有关设施、设备上设置明显的安全警示标志的</w:t>
            </w:r>
          </w:p>
        </w:tc>
        <w:tc>
          <w:tcPr>
            <w:tcW w:w="542"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轻微</w:t>
            </w:r>
          </w:p>
        </w:tc>
        <w:tc>
          <w:tcPr>
            <w:tcW w:w="173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z w:val="18"/>
                <w:szCs w:val="18"/>
                <w:vertAlign w:val="baseline"/>
              </w:rPr>
              <w:t>1.已设置安全警示标识，但是位置不明显或者脱落后未及时张贴，首次发现；</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pacing w:val="-6"/>
                <w:sz w:val="18"/>
                <w:szCs w:val="18"/>
                <w:vertAlign w:val="baseline"/>
              </w:rPr>
            </w:pPr>
            <w:r>
              <w:rPr>
                <w:rFonts w:hint="eastAsia" w:ascii="宋体" w:hAnsi="宋体" w:eastAsia="宋体" w:cs="宋体"/>
                <w:color w:val="000000"/>
                <w:spacing w:val="-6"/>
                <w:sz w:val="18"/>
                <w:szCs w:val="18"/>
                <w:vertAlign w:val="baseline"/>
              </w:rPr>
              <w:t>2.当事人配合检查并按规定时间改正的；</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z w:val="18"/>
                <w:szCs w:val="18"/>
                <w:vertAlign w:val="baseline"/>
              </w:rPr>
              <w:t>3.没有造成危害后果的；</w:t>
            </w:r>
          </w:p>
          <w:p>
            <w:pPr>
              <w:pStyle w:val="2"/>
              <w:spacing w:line="260" w:lineRule="exact"/>
              <w:rPr>
                <w:rFonts w:hint="eastAsia" w:ascii="宋体" w:hAnsi="宋体" w:eastAsia="宋体" w:cs="宋体"/>
                <w:color w:val="000000"/>
                <w:sz w:val="18"/>
                <w:szCs w:val="18"/>
                <w:vertAlign w:val="baseline"/>
              </w:rPr>
            </w:pPr>
            <w:r>
              <w:rPr>
                <w:rStyle w:val="21"/>
                <w:rFonts w:hint="eastAsia" w:ascii="宋体" w:hAnsi="宋体" w:eastAsia="宋体" w:cs="宋体"/>
                <w:sz w:val="18"/>
                <w:szCs w:val="18"/>
                <w:lang w:val="en-US" w:eastAsia="zh-CN" w:bidi="ar"/>
              </w:rPr>
              <w:t>（注：符合上述所有情形的，不予处罚，应将本次违法情况进行登记备案，以后再发生类似问题的将不再适用本条件）</w:t>
            </w:r>
          </w:p>
        </w:tc>
        <w:tc>
          <w:tcPr>
            <w:tcW w:w="2702" w:type="dxa"/>
            <w:noWrap w:val="0"/>
            <w:tcMar>
              <w:top w:w="0" w:type="dxa"/>
              <w:left w:w="0" w:type="dxa"/>
              <w:bottom w:w="0" w:type="dxa"/>
              <w:right w:w="0" w:type="dxa"/>
            </w:tcMar>
            <w:vAlign w:val="center"/>
          </w:tcPr>
          <w:p>
            <w:pPr>
              <w:spacing w:line="300" w:lineRule="exact"/>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2"/>
                <w:sz w:val="18"/>
                <w:szCs w:val="18"/>
                <w:vertAlign w:val="baseline"/>
                <w:lang w:val="en-US" w:eastAsia="zh-CN" w:bidi="ar-SA"/>
              </w:rPr>
              <w:t>不予处罚</w:t>
            </w:r>
          </w:p>
        </w:tc>
        <w:tc>
          <w:tcPr>
            <w:tcW w:w="49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05" w:hRule="atLeast"/>
          <w:jc w:val="center"/>
        </w:trPr>
        <w:tc>
          <w:tcPr>
            <w:tcW w:w="486"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shd w:val="clear" w:color="auto" w:fill="auto"/>
                <w:vertAlign w:val="baseline"/>
                <w:lang w:val="en-US" w:eastAsia="zh-CN"/>
              </w:rPr>
            </w:pPr>
          </w:p>
        </w:tc>
        <w:tc>
          <w:tcPr>
            <w:tcW w:w="1283" w:type="dxa"/>
            <w:vMerge w:val="continue"/>
            <w:noWrap w:val="0"/>
            <w:tcMar>
              <w:top w:w="0" w:type="dxa"/>
              <w:left w:w="0" w:type="dxa"/>
              <w:bottom w:w="0" w:type="dxa"/>
              <w:right w:w="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p>
        </w:tc>
        <w:tc>
          <w:tcPr>
            <w:tcW w:w="6711"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p>
        </w:tc>
        <w:tc>
          <w:tcPr>
            <w:tcW w:w="151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生产经营单位未为从业人员提供符合国家标准或者行业标准的劳动防护用品的</w:t>
            </w:r>
          </w:p>
        </w:tc>
        <w:tc>
          <w:tcPr>
            <w:tcW w:w="54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轻微</w:t>
            </w:r>
          </w:p>
        </w:tc>
        <w:tc>
          <w:tcPr>
            <w:tcW w:w="173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z w:val="18"/>
                <w:szCs w:val="18"/>
                <w:vertAlign w:val="baseline"/>
              </w:rPr>
              <w:t>初次违法；不包含从事特种作业、高空作业、有限空间作业、有毒有害作业、易燃易爆区域作业的人员；在限定期限内完成整改；未造成危害后果</w:t>
            </w:r>
          </w:p>
          <w:p>
            <w:pPr>
              <w:pStyle w:val="2"/>
              <w:spacing w:line="300" w:lineRule="exact"/>
              <w:rPr>
                <w:rFonts w:hint="eastAsia" w:ascii="宋体" w:hAnsi="宋体" w:eastAsia="宋体" w:cs="宋体"/>
                <w:color w:val="000000"/>
                <w:sz w:val="18"/>
                <w:szCs w:val="18"/>
                <w:vertAlign w:val="baseline"/>
              </w:rPr>
            </w:pPr>
            <w:r>
              <w:rPr>
                <w:rStyle w:val="21"/>
                <w:rFonts w:hint="eastAsia" w:ascii="宋体" w:hAnsi="宋体" w:eastAsia="宋体" w:cs="宋体"/>
                <w:sz w:val="18"/>
                <w:szCs w:val="18"/>
                <w:lang w:val="en-US" w:eastAsia="zh-CN" w:bidi="ar"/>
              </w:rPr>
              <w:t>（注：符合上述所有情形的，不予处罚，应将本次违法情况进行登记备案，以后再发生类似问题的将不再适用本条件）</w:t>
            </w:r>
          </w:p>
        </w:tc>
        <w:tc>
          <w:tcPr>
            <w:tcW w:w="270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2"/>
                <w:sz w:val="18"/>
                <w:szCs w:val="18"/>
                <w:vertAlign w:val="baseline"/>
                <w:lang w:val="en-US" w:eastAsia="zh-CN" w:bidi="ar-SA"/>
              </w:rPr>
              <w:t>不予处罚</w:t>
            </w:r>
          </w:p>
        </w:tc>
        <w:tc>
          <w:tcPr>
            <w:tcW w:w="49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726" w:hRule="atLeast"/>
          <w:jc w:val="center"/>
        </w:trPr>
        <w:tc>
          <w:tcPr>
            <w:tcW w:w="486"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shd w:val="clear" w:color="auto" w:fill="auto"/>
                <w:vertAlign w:val="baseline"/>
                <w:lang w:val="en-US" w:eastAsia="zh-CN"/>
              </w:rPr>
            </w:pPr>
            <w:r>
              <w:rPr>
                <w:rFonts w:hint="eastAsia" w:ascii="宋体" w:hAnsi="宋体" w:eastAsia="宋体" w:cs="宋体"/>
                <w:color w:val="000000"/>
                <w:sz w:val="18"/>
                <w:szCs w:val="18"/>
                <w:shd w:val="clear" w:color="auto" w:fill="auto"/>
                <w:vertAlign w:val="baseline"/>
                <w:lang w:val="en-US" w:eastAsia="zh-CN"/>
              </w:rPr>
              <w:t>101</w:t>
            </w:r>
          </w:p>
        </w:tc>
        <w:tc>
          <w:tcPr>
            <w:tcW w:w="1283" w:type="dxa"/>
            <w:noWrap w:val="0"/>
            <w:tcMar>
              <w:top w:w="0" w:type="dxa"/>
              <w:left w:w="0" w:type="dxa"/>
              <w:bottom w:w="0" w:type="dxa"/>
              <w:right w:w="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对水利领域生产经营单位未建立专门安全管理制度、未采取可靠的安全措施，未制定应急预案等行为的行政处罚</w:t>
            </w:r>
          </w:p>
        </w:tc>
        <w:tc>
          <w:tcPr>
            <w:tcW w:w="6711"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《中华人民共和国安全生产法》第一百零一条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（一）生产、经营、运输、储存、使用危险物品或者处置废弃危险物品，未建立专门安全管理制度、未采取可靠的安全措施的；</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（二）对重大危险源未登记建档，未进行定期检测、评估、监控，未制定应急预案，或者未告知应急措施的；</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（三）进行爆破、吊装、动火、临时用电以及国务院应急管理部门会同国务院有关部门规定的其他危险作业，未安排专门人员进行现场安全管理的；</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（四）未建立安全风险分级管控制度或者未按照安全风险分级采取相应管控措施的；</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（五）未建立事故隐患排查治理制度，或者重大事故隐患排查治理情况未按照规定报告的。</w:t>
            </w:r>
          </w:p>
        </w:tc>
        <w:tc>
          <w:tcPr>
            <w:tcW w:w="151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未建立安全风险分级管控制度或者未按照安全风险分级采取相应管控措施的</w:t>
            </w:r>
          </w:p>
        </w:tc>
        <w:tc>
          <w:tcPr>
            <w:tcW w:w="54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轻微</w:t>
            </w:r>
          </w:p>
        </w:tc>
        <w:tc>
          <w:tcPr>
            <w:tcW w:w="173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z w:val="18"/>
                <w:szCs w:val="18"/>
                <w:vertAlign w:val="baseline"/>
              </w:rPr>
              <w:t>一般行业生产经营单位；初次违法；在限定期限内完成整改；未造成危害后果</w:t>
            </w:r>
          </w:p>
          <w:p>
            <w:pPr>
              <w:pStyle w:val="2"/>
              <w:spacing w:line="260" w:lineRule="exact"/>
              <w:rPr>
                <w:rFonts w:hint="eastAsia" w:ascii="宋体" w:hAnsi="宋体" w:eastAsia="宋体" w:cs="宋体"/>
                <w:sz w:val="18"/>
                <w:szCs w:val="18"/>
                <w:lang w:val="en-US" w:eastAsia="zh-CN"/>
              </w:rPr>
            </w:pPr>
            <w:r>
              <w:rPr>
                <w:rStyle w:val="21"/>
                <w:rFonts w:hint="eastAsia" w:ascii="宋体" w:hAnsi="宋体" w:eastAsia="宋体" w:cs="宋体"/>
                <w:sz w:val="18"/>
                <w:szCs w:val="18"/>
                <w:lang w:val="en-US" w:eastAsia="zh-CN" w:bidi="ar"/>
              </w:rPr>
              <w:t>（注：符合上述所有情形的，不予处罚，应将本次违法情况进行登记备案，以后再发生类似问题的将不再适用本条件）</w:t>
            </w:r>
          </w:p>
        </w:tc>
        <w:tc>
          <w:tcPr>
            <w:tcW w:w="270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2"/>
                <w:sz w:val="18"/>
                <w:szCs w:val="18"/>
                <w:vertAlign w:val="baseline"/>
                <w:lang w:val="en-US" w:eastAsia="zh-CN" w:bidi="ar-SA"/>
              </w:rPr>
              <w:t>不予处罚</w:t>
            </w:r>
          </w:p>
        </w:tc>
        <w:tc>
          <w:tcPr>
            <w:tcW w:w="49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813" w:hRule="atLeast"/>
          <w:jc w:val="center"/>
        </w:trPr>
        <w:tc>
          <w:tcPr>
            <w:tcW w:w="486"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shd w:val="clear" w:color="auto" w:fill="auto"/>
                <w:vertAlign w:val="baseline"/>
                <w:lang w:val="en-US" w:eastAsia="zh-CN"/>
              </w:rPr>
            </w:pPr>
            <w:r>
              <w:rPr>
                <w:rFonts w:hint="eastAsia" w:ascii="宋体" w:hAnsi="宋体" w:eastAsia="宋体" w:cs="宋体"/>
                <w:color w:val="000000"/>
                <w:sz w:val="18"/>
                <w:szCs w:val="18"/>
                <w:shd w:val="clear" w:color="auto" w:fill="auto"/>
                <w:vertAlign w:val="baseline"/>
                <w:lang w:val="en-US" w:eastAsia="zh-CN"/>
              </w:rPr>
              <w:t>119</w:t>
            </w:r>
          </w:p>
        </w:tc>
        <w:tc>
          <w:tcPr>
            <w:tcW w:w="1283" w:type="dxa"/>
            <w:noWrap w:val="0"/>
            <w:tcMar>
              <w:top w:w="0" w:type="dxa"/>
              <w:left w:w="0" w:type="dxa"/>
              <w:bottom w:w="0" w:type="dxa"/>
              <w:right w:w="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对水利领域必须进行招标的项目而不招标的，将必须进行招标的项目化整为零或者以其他任何方式规避招标行为的行政处罚</w:t>
            </w:r>
          </w:p>
        </w:tc>
        <w:tc>
          <w:tcPr>
            <w:tcW w:w="6711"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《中华人民共和国招标投标法》第四十九条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《中华人民共和国招标投标法实施条例》第六十三条第二款 依法必须进行招标的项目的招标人不按照规定发布资格预审公告或者招标公告，构成规避招标的，依照招标投标法第四十九条的规定处罚。</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《工程建设项目施工招标投标办法》第六十八条 依法必须进行招标的项目而不招标的，将必须进行招标的项目化整为零或者以其他任何方式规避招标的，有关行政监督部门责令限期改正，可以处项目合同金额千分之五以上千分之十以下的罚款；对全部或者部分使用国有资金的项目，项目审批部门可以暂停项目执行或者暂停资金拨付；对单位直接负责的主管人员和其他直接责任人员依法给予处分。</w:t>
            </w:r>
          </w:p>
        </w:tc>
        <w:tc>
          <w:tcPr>
            <w:tcW w:w="151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水利领域必须进行招标的项目而不招标的，将必须进行招标的项目化整为零或者以其他任何方式规避招标的</w:t>
            </w:r>
          </w:p>
        </w:tc>
        <w:tc>
          <w:tcPr>
            <w:tcW w:w="54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轻微</w:t>
            </w:r>
          </w:p>
        </w:tc>
        <w:tc>
          <w:tcPr>
            <w:tcW w:w="173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z w:val="18"/>
                <w:szCs w:val="18"/>
                <w:highlight w:val="none"/>
                <w:vertAlign w:val="baseline"/>
              </w:rPr>
              <w:t>及时改正，且没有造成危害后果的</w:t>
            </w:r>
          </w:p>
        </w:tc>
        <w:tc>
          <w:tcPr>
            <w:tcW w:w="270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2"/>
                <w:sz w:val="18"/>
                <w:szCs w:val="18"/>
                <w:highlight w:val="none"/>
                <w:vertAlign w:val="baseline"/>
                <w:lang w:val="en-US" w:eastAsia="zh-CN" w:bidi="ar-SA"/>
              </w:rPr>
              <w:t>不予处罚</w:t>
            </w:r>
          </w:p>
        </w:tc>
        <w:tc>
          <w:tcPr>
            <w:tcW w:w="49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19" w:hRule="atLeast"/>
          <w:jc w:val="center"/>
        </w:trPr>
        <w:tc>
          <w:tcPr>
            <w:tcW w:w="486"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shd w:val="clear" w:color="auto" w:fill="auto"/>
                <w:vertAlign w:val="baseline"/>
                <w:lang w:val="en-US" w:eastAsia="zh-CN"/>
              </w:rPr>
            </w:pPr>
            <w:r>
              <w:rPr>
                <w:rFonts w:hint="eastAsia" w:ascii="宋体" w:hAnsi="宋体" w:eastAsia="宋体" w:cs="宋体"/>
                <w:color w:val="000000"/>
                <w:sz w:val="18"/>
                <w:szCs w:val="18"/>
                <w:shd w:val="clear" w:color="auto" w:fill="auto"/>
                <w:vertAlign w:val="baseline"/>
                <w:lang w:val="en-US" w:eastAsia="zh-CN"/>
              </w:rPr>
              <w:t>123</w:t>
            </w:r>
          </w:p>
        </w:tc>
        <w:tc>
          <w:tcPr>
            <w:tcW w:w="1283" w:type="dxa"/>
            <w:noWrap w:val="0"/>
            <w:tcMar>
              <w:top w:w="0" w:type="dxa"/>
              <w:left w:w="0" w:type="dxa"/>
              <w:bottom w:w="0" w:type="dxa"/>
              <w:right w:w="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对水利领域招标人在评标委员会依法推荐的中标候选人以外确定中标人，依法必须进行招标的项目在所有投标被评标委员会否决后自行确定中标人等行为的行政处罚</w:t>
            </w:r>
          </w:p>
        </w:tc>
        <w:tc>
          <w:tcPr>
            <w:tcW w:w="6711"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《中华人民共和国招标投标法》第五十七条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《中华人民共和国招标投标法实施条例》第七十三条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（二）不按照规定确定中标人；</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《评标委员会和评标方法暂行规定》第五十五条 招标人有下列情形之一的，责令改正，可以处中标项目金额千分之十以下的罚款；给他人造成损失的，依法承担赔偿责任；对单位直接负责的主管人员和其他直接责任人员依法给予处分：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（二）不按照规定确定中标人；</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《工程建设项目货物招标投标办法》第五十八条第一款 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（二）不按照规定确定中标人；</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《工程建设项目施工招标投标办法》第八十条 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（二）不按照规定确定中标人。</w:t>
            </w:r>
          </w:p>
        </w:tc>
        <w:tc>
          <w:tcPr>
            <w:tcW w:w="151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水利领域招标人在评标委员会依法推荐的中标候选人以外确定中标人，依法必须进行招标的项目在所有投标被评标委员会否决后自行确定中标人的</w:t>
            </w:r>
          </w:p>
        </w:tc>
        <w:tc>
          <w:tcPr>
            <w:tcW w:w="54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轻微</w:t>
            </w:r>
          </w:p>
        </w:tc>
        <w:tc>
          <w:tcPr>
            <w:tcW w:w="173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z w:val="18"/>
                <w:szCs w:val="18"/>
                <w:highlight w:val="none"/>
                <w:vertAlign w:val="baseline"/>
              </w:rPr>
              <w:t>及时改正，且没有造成危害后果的</w:t>
            </w:r>
          </w:p>
        </w:tc>
        <w:tc>
          <w:tcPr>
            <w:tcW w:w="270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2"/>
                <w:sz w:val="18"/>
                <w:szCs w:val="18"/>
                <w:highlight w:val="none"/>
                <w:vertAlign w:val="baseline"/>
                <w:lang w:val="en-US" w:eastAsia="zh-CN" w:bidi="ar-SA"/>
              </w:rPr>
              <w:t>不予处罚</w:t>
            </w:r>
          </w:p>
        </w:tc>
        <w:tc>
          <w:tcPr>
            <w:tcW w:w="49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57" w:hRule="atLeast"/>
          <w:jc w:val="center"/>
        </w:trPr>
        <w:tc>
          <w:tcPr>
            <w:tcW w:w="486"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shd w:val="clear" w:color="auto" w:fill="auto"/>
                <w:vertAlign w:val="baseline"/>
                <w:lang w:val="en-US" w:eastAsia="zh-CN"/>
              </w:rPr>
            </w:pPr>
            <w:r>
              <w:rPr>
                <w:rFonts w:hint="eastAsia" w:ascii="宋体" w:hAnsi="宋体" w:eastAsia="宋体" w:cs="宋体"/>
                <w:color w:val="000000"/>
                <w:sz w:val="18"/>
                <w:szCs w:val="18"/>
                <w:shd w:val="clear" w:color="auto" w:fill="auto"/>
                <w:vertAlign w:val="baseline"/>
                <w:lang w:val="en-US" w:eastAsia="zh-CN"/>
              </w:rPr>
              <w:t>124</w:t>
            </w:r>
          </w:p>
        </w:tc>
        <w:tc>
          <w:tcPr>
            <w:tcW w:w="1283" w:type="dxa"/>
            <w:noWrap w:val="0"/>
            <w:tcMar>
              <w:top w:w="0" w:type="dxa"/>
              <w:left w:w="0" w:type="dxa"/>
              <w:bottom w:w="0" w:type="dxa"/>
              <w:right w:w="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对水利领域招标人与中标人不按照招标文件和中标人的投标文件订立合同，或者招标人、中标人订立背离合同实质性内容的协议等行为的行政处罚</w:t>
            </w:r>
          </w:p>
        </w:tc>
        <w:tc>
          <w:tcPr>
            <w:tcW w:w="6711"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《中华人民共和国招标投标法》第五十九条 招标人与中标人不按照招标文件和中标人的投标文件订立合同的，或者招标人、中标人订立背离合同实质性内容的协议的，责令改正；可以处中标项目金额千分之五以上千分之十以下的罚款。</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《中华人民共和国招标投标法实施条例》第七十五条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《评标委员会和评标方法暂行规定》第五十六条 招标人与中标人不按照招标文件和中标人的投标文件订立合同的，合同的主要条款与招标文件、中标人的投标文件的内容不一致，或者招标人、中标人订立背离合同实质性内容的协议的，由有关行政监督部门责令改正，可以处中标项目金额千分之五以上千分之十以下的罚款。</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《工程建设项目施工招标投标办法》第八十三条 招标人与中标人不按照招标文件和中标人的投标文件订立合同的，合同的主要条款与招标文件、中标人的投标文件的内容不一致，或者招标人、中标人订立背离合同实质性内容的协议的，有关行政监督部门责令改正；可以处中标项目金额千分之五以上千分之十以下的罚款。</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《工程建设项目勘察设计招标投标办法》第五十五条 招标人与中标人不按照招标文件和中标人的投标文件订立合同，责令改正，可以处中标项目金额千分之五以上千分之十以下的罚款。</w:t>
            </w:r>
          </w:p>
        </w:tc>
        <w:tc>
          <w:tcPr>
            <w:tcW w:w="151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水利领域招标人与中标人不按照招标文件和中标人的投标文件订立合同，或者招标人、中标人订立背离合同实质性内容的协议的</w:t>
            </w:r>
          </w:p>
        </w:tc>
        <w:tc>
          <w:tcPr>
            <w:tcW w:w="54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轻微</w:t>
            </w:r>
          </w:p>
        </w:tc>
        <w:tc>
          <w:tcPr>
            <w:tcW w:w="173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highlight w:val="none"/>
                <w:vertAlign w:val="baseline"/>
              </w:rPr>
              <w:t>初次违法，且没有造成危害后果的</w:t>
            </w:r>
          </w:p>
        </w:tc>
        <w:tc>
          <w:tcPr>
            <w:tcW w:w="270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2"/>
                <w:sz w:val="18"/>
                <w:szCs w:val="18"/>
                <w:highlight w:val="none"/>
                <w:vertAlign w:val="baseline"/>
                <w:lang w:val="en-US" w:eastAsia="zh-CN" w:bidi="ar-SA"/>
              </w:rPr>
              <w:t>不予处罚</w:t>
            </w:r>
          </w:p>
        </w:tc>
        <w:tc>
          <w:tcPr>
            <w:tcW w:w="49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785" w:hRule="atLeast"/>
          <w:jc w:val="center"/>
        </w:trPr>
        <w:tc>
          <w:tcPr>
            <w:tcW w:w="486"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shd w:val="clear" w:color="auto" w:fill="auto"/>
                <w:vertAlign w:val="baseline"/>
                <w:lang w:val="en-US" w:eastAsia="zh-CN"/>
              </w:rPr>
            </w:pPr>
            <w:r>
              <w:rPr>
                <w:rFonts w:hint="eastAsia" w:ascii="宋体" w:hAnsi="宋体" w:eastAsia="宋体" w:cs="宋体"/>
                <w:color w:val="000000"/>
                <w:sz w:val="18"/>
                <w:szCs w:val="18"/>
                <w:shd w:val="clear" w:color="auto" w:fill="auto"/>
                <w:vertAlign w:val="baseline"/>
                <w:lang w:val="en-US" w:eastAsia="zh-CN"/>
              </w:rPr>
              <w:t>125</w:t>
            </w:r>
          </w:p>
        </w:tc>
        <w:tc>
          <w:tcPr>
            <w:tcW w:w="1283" w:type="dxa"/>
            <w:vMerge w:val="restart"/>
            <w:noWrap w:val="0"/>
            <w:tcMar>
              <w:top w:w="0" w:type="dxa"/>
              <w:left w:w="0" w:type="dxa"/>
              <w:bottom w:w="0" w:type="dxa"/>
              <w:right w:w="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对水利领域招标人依法应当公开招标而采用邀请招标，接受未通过资格预审的单位或者个人参加投标等行为的行政处罚</w:t>
            </w:r>
          </w:p>
        </w:tc>
        <w:tc>
          <w:tcPr>
            <w:tcW w:w="6711"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《中华人民共和国招标投标法实施条例》第六十四条 招标人有下列情形之一的，由有关行政监督部门责令改正，可以处10万元以下的罚款：</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一）依法应当公开招标而采用邀请招标；（二）招标文件、资格预审文件的发售、澄清、修改的时限，或者确定的提交资格预审申请文件、投标文件的时限不符合招标投标法和本条例规定；（三）接受未通过资格预审的单位或者个人参加投标；（四）接受应当拒收的投标文件。</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 xml:space="preserve"> 招标人有前款第一项、第三项、第四项所列行为之一的，对单位直接负责的主管人员和其他直接责任人员依法给予处分。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《工程建设项目勘察设计招标投标办法》第五十一条 招标人有下列情形之一的，由有关行政监督部门责令改正，可以处10万元以下的罚款：</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一）依法应当公开招标而采用邀请招标；（二）招标文件、资格预审文件的发售、澄清、修改的时限，或者确定的提交资格预审申请文件、投标文件的时限不符合招标投标法和招标投标法实施条例规定；（三）接受未通过资格预审的单位或者个人参加投标；（四）接受应当拒收的投标文件。</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招标人有前款第一项、第三项、第四项所列行为之一的，对单位直接负责的主管人员和其他直接责任人员依法给予处分。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《工程建设项目货物招标投标办法》第五十六条 招标人有下列情形之一的，由有关行政监督部门责令改正，可以处10万元以下的罚款：</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（一）依法应当公开招标而采用邀请招标； （二）招标文件、资格预审文件的发售、澄清、修改的时限，或者确定的提交资格预审申请文件、投标文件的时限不符合招标投标法和招标投标法实施条例规定；（三）接受未通过资格预审的单位或者个人参加投标；（四）接受应当拒收的投标文件。</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招标人有前款第一项、第三项、第四项所列行为之一的，对单位直接负责的主管人员和其他直接责任人员依法给予处分。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《工程建设项目施工招标投标办法》第七十三条第二款 招标人有下列情形之一的，由有关行政监督部门责令改正，可以处10万元以下的罚款：</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一）依法应当公开招标而采用邀请招标；（二）招标文件、资格预审文件的发售、澄清、修改的时限，或者确定的提交资格预审申请文件、投标文件的时限不符合招标投标法和招标投标法实施条例规定；（三）接受未通过资格预审的单位或者个人参加投标；（四）接受应当拒收的投标文件。</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第七十三条第三款 招标人有前款第一项、第三项、第四项所列行为之一的，对单位直接负责的主管人员和其他直接责任人员依法给予处分。</w:t>
            </w:r>
          </w:p>
        </w:tc>
        <w:tc>
          <w:tcPr>
            <w:tcW w:w="151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水利领域招标人依法应当公开招标而采用邀请招标的</w:t>
            </w:r>
          </w:p>
        </w:tc>
        <w:tc>
          <w:tcPr>
            <w:tcW w:w="54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轻微</w:t>
            </w:r>
          </w:p>
        </w:tc>
        <w:tc>
          <w:tcPr>
            <w:tcW w:w="173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z w:val="18"/>
                <w:szCs w:val="18"/>
                <w:vertAlign w:val="baseline"/>
              </w:rPr>
              <w:t>及时改正，且没有造成危害后果的</w:t>
            </w:r>
          </w:p>
        </w:tc>
        <w:tc>
          <w:tcPr>
            <w:tcW w:w="270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2"/>
                <w:sz w:val="18"/>
                <w:szCs w:val="18"/>
                <w:vertAlign w:val="baseline"/>
                <w:lang w:val="en-US" w:eastAsia="zh-CN" w:bidi="ar-SA"/>
              </w:rPr>
              <w:t>不予处罚</w:t>
            </w:r>
          </w:p>
        </w:tc>
        <w:tc>
          <w:tcPr>
            <w:tcW w:w="49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9" w:hRule="atLeast"/>
          <w:jc w:val="center"/>
        </w:trPr>
        <w:tc>
          <w:tcPr>
            <w:tcW w:w="486"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shd w:val="clear" w:color="auto" w:fill="auto"/>
                <w:vertAlign w:val="baseline"/>
                <w:lang w:val="en-US" w:eastAsia="zh-CN"/>
              </w:rPr>
            </w:pPr>
          </w:p>
        </w:tc>
        <w:tc>
          <w:tcPr>
            <w:tcW w:w="1283" w:type="dxa"/>
            <w:vMerge w:val="continue"/>
            <w:noWrap w:val="0"/>
            <w:tcMar>
              <w:top w:w="0" w:type="dxa"/>
              <w:left w:w="0" w:type="dxa"/>
              <w:bottom w:w="0" w:type="dxa"/>
              <w:right w:w="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p>
        </w:tc>
        <w:tc>
          <w:tcPr>
            <w:tcW w:w="6711"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p>
        </w:tc>
        <w:tc>
          <w:tcPr>
            <w:tcW w:w="151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招标人的招标文件、资格预审文件的发售、澄清、修改的时限，或者确定的提交资格预审申请文件、投标文件的时限不符合招标投标法和本条例规定的</w:t>
            </w:r>
          </w:p>
        </w:tc>
        <w:tc>
          <w:tcPr>
            <w:tcW w:w="54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轻微</w:t>
            </w:r>
          </w:p>
        </w:tc>
        <w:tc>
          <w:tcPr>
            <w:tcW w:w="173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highlight w:val="none"/>
                <w:vertAlign w:val="baseline"/>
              </w:rPr>
              <w:t>及时改正，且没有造成危害后果的</w:t>
            </w:r>
          </w:p>
        </w:tc>
        <w:tc>
          <w:tcPr>
            <w:tcW w:w="270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2"/>
                <w:sz w:val="18"/>
                <w:szCs w:val="18"/>
                <w:highlight w:val="none"/>
                <w:vertAlign w:val="baseline"/>
                <w:lang w:val="en-US" w:eastAsia="zh-CN" w:bidi="ar-SA"/>
              </w:rPr>
              <w:t>不予处罚</w:t>
            </w:r>
          </w:p>
        </w:tc>
        <w:tc>
          <w:tcPr>
            <w:tcW w:w="49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865" w:hRule="atLeast"/>
          <w:jc w:val="center"/>
        </w:trPr>
        <w:tc>
          <w:tcPr>
            <w:tcW w:w="486"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shd w:val="clear" w:color="auto" w:fill="auto"/>
                <w:vertAlign w:val="baseline"/>
                <w:lang w:val="en-US" w:eastAsia="zh-CN"/>
              </w:rPr>
            </w:pPr>
          </w:p>
        </w:tc>
        <w:tc>
          <w:tcPr>
            <w:tcW w:w="1283" w:type="dxa"/>
            <w:vMerge w:val="continue"/>
            <w:noWrap w:val="0"/>
            <w:tcMar>
              <w:top w:w="0" w:type="dxa"/>
              <w:left w:w="0" w:type="dxa"/>
              <w:bottom w:w="0" w:type="dxa"/>
              <w:right w:w="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p>
        </w:tc>
        <w:tc>
          <w:tcPr>
            <w:tcW w:w="6711"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p>
        </w:tc>
        <w:tc>
          <w:tcPr>
            <w:tcW w:w="151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水利领域招标人接受未通过资格预审的单位或者个人参加投标的</w:t>
            </w:r>
          </w:p>
        </w:tc>
        <w:tc>
          <w:tcPr>
            <w:tcW w:w="542"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轻微</w:t>
            </w:r>
          </w:p>
        </w:tc>
        <w:tc>
          <w:tcPr>
            <w:tcW w:w="173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z w:val="18"/>
                <w:szCs w:val="18"/>
                <w:highlight w:val="none"/>
                <w:vertAlign w:val="baseline"/>
              </w:rPr>
              <w:t>及时改正，且没有造成危害后果的</w:t>
            </w:r>
          </w:p>
        </w:tc>
        <w:tc>
          <w:tcPr>
            <w:tcW w:w="270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2"/>
                <w:sz w:val="18"/>
                <w:szCs w:val="18"/>
                <w:highlight w:val="none"/>
                <w:vertAlign w:val="baseline"/>
                <w:lang w:val="en-US" w:eastAsia="zh-CN" w:bidi="ar-SA"/>
              </w:rPr>
              <w:t>不予处罚</w:t>
            </w:r>
          </w:p>
        </w:tc>
        <w:tc>
          <w:tcPr>
            <w:tcW w:w="49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797" w:hRule="atLeast"/>
          <w:jc w:val="center"/>
        </w:trPr>
        <w:tc>
          <w:tcPr>
            <w:tcW w:w="486"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shd w:val="clear" w:color="auto" w:fill="auto"/>
                <w:vertAlign w:val="baseline"/>
                <w:lang w:val="en-US" w:eastAsia="zh-CN"/>
              </w:rPr>
            </w:pPr>
          </w:p>
        </w:tc>
        <w:tc>
          <w:tcPr>
            <w:tcW w:w="1283" w:type="dxa"/>
            <w:vMerge w:val="continue"/>
            <w:noWrap w:val="0"/>
            <w:tcMar>
              <w:top w:w="0" w:type="dxa"/>
              <w:left w:w="0" w:type="dxa"/>
              <w:bottom w:w="0" w:type="dxa"/>
              <w:right w:w="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p>
        </w:tc>
        <w:tc>
          <w:tcPr>
            <w:tcW w:w="6711"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p>
        </w:tc>
        <w:tc>
          <w:tcPr>
            <w:tcW w:w="151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招标人接受应当拒收的投标文件的</w:t>
            </w:r>
          </w:p>
        </w:tc>
        <w:tc>
          <w:tcPr>
            <w:tcW w:w="54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轻微</w:t>
            </w:r>
          </w:p>
        </w:tc>
        <w:tc>
          <w:tcPr>
            <w:tcW w:w="173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highlight w:val="none"/>
                <w:vertAlign w:val="baseline"/>
              </w:rPr>
              <w:t>及时改正，且没有造成危害后果的</w:t>
            </w:r>
          </w:p>
        </w:tc>
        <w:tc>
          <w:tcPr>
            <w:tcW w:w="270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2"/>
                <w:sz w:val="18"/>
                <w:szCs w:val="18"/>
                <w:highlight w:val="none"/>
                <w:vertAlign w:val="baseline"/>
                <w:lang w:val="en-US" w:eastAsia="zh-CN" w:bidi="ar-SA"/>
              </w:rPr>
              <w:t>不予处罚</w:t>
            </w:r>
          </w:p>
        </w:tc>
        <w:tc>
          <w:tcPr>
            <w:tcW w:w="49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672" w:hRule="atLeast"/>
          <w:jc w:val="center"/>
        </w:trPr>
        <w:tc>
          <w:tcPr>
            <w:tcW w:w="486"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shd w:val="clear" w:color="auto" w:fill="auto"/>
                <w:vertAlign w:val="baseline"/>
                <w:lang w:val="en-US" w:eastAsia="zh-CN"/>
              </w:rPr>
            </w:pPr>
            <w:r>
              <w:rPr>
                <w:rFonts w:hint="eastAsia" w:ascii="宋体" w:hAnsi="宋体" w:eastAsia="宋体" w:cs="宋体"/>
                <w:color w:val="000000"/>
                <w:sz w:val="18"/>
                <w:szCs w:val="18"/>
                <w:shd w:val="clear" w:color="auto" w:fill="auto"/>
                <w:vertAlign w:val="baseline"/>
                <w:lang w:val="en-US" w:eastAsia="zh-CN"/>
              </w:rPr>
              <w:t>126</w:t>
            </w:r>
          </w:p>
        </w:tc>
        <w:tc>
          <w:tcPr>
            <w:tcW w:w="1283" w:type="dxa"/>
            <w:noWrap w:val="0"/>
            <w:tcMar>
              <w:top w:w="0" w:type="dxa"/>
              <w:left w:w="0" w:type="dxa"/>
              <w:bottom w:w="0" w:type="dxa"/>
              <w:right w:w="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对水利领域招标人超过规定的比例收取投标保证金、履约保证金或者不按照规定退还投标保证金及银行同期存款利息行为的行政处罚</w:t>
            </w:r>
          </w:p>
        </w:tc>
        <w:tc>
          <w:tcPr>
            <w:tcW w:w="6711"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《中华人民共和国招标投标法实施条例》第六十六条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151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水利领域招标人超过规定的比例收取投标保证金、履约保证金或者不按照规定退还投标保证金及银行同期存款利息的</w:t>
            </w:r>
          </w:p>
        </w:tc>
        <w:tc>
          <w:tcPr>
            <w:tcW w:w="54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轻微</w:t>
            </w:r>
          </w:p>
        </w:tc>
        <w:tc>
          <w:tcPr>
            <w:tcW w:w="173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highlight w:val="none"/>
                <w:vertAlign w:val="baseline"/>
              </w:rPr>
              <w:t>初次违法，且没有造成危害后果的</w:t>
            </w:r>
          </w:p>
        </w:tc>
        <w:tc>
          <w:tcPr>
            <w:tcW w:w="270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2"/>
                <w:sz w:val="18"/>
                <w:szCs w:val="18"/>
                <w:highlight w:val="none"/>
                <w:vertAlign w:val="baseline"/>
                <w:lang w:val="en-US" w:eastAsia="zh-CN" w:bidi="ar-SA"/>
              </w:rPr>
              <w:t>不予处罚</w:t>
            </w:r>
          </w:p>
        </w:tc>
        <w:tc>
          <w:tcPr>
            <w:tcW w:w="49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14" w:hRule="atLeast"/>
          <w:jc w:val="center"/>
        </w:trPr>
        <w:tc>
          <w:tcPr>
            <w:tcW w:w="486"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shd w:val="clear" w:color="auto" w:fill="auto"/>
                <w:vertAlign w:val="baseline"/>
                <w:lang w:val="en-US" w:eastAsia="zh-CN"/>
              </w:rPr>
            </w:pPr>
            <w:r>
              <w:rPr>
                <w:rFonts w:hint="eastAsia" w:ascii="宋体" w:hAnsi="宋体" w:eastAsia="宋体" w:cs="宋体"/>
                <w:color w:val="000000"/>
                <w:sz w:val="18"/>
                <w:szCs w:val="18"/>
                <w:shd w:val="clear" w:color="auto" w:fill="auto"/>
                <w:vertAlign w:val="baseline"/>
                <w:lang w:val="en-US" w:eastAsia="zh-CN"/>
              </w:rPr>
              <w:t>127</w:t>
            </w:r>
          </w:p>
        </w:tc>
        <w:tc>
          <w:tcPr>
            <w:tcW w:w="1283" w:type="dxa"/>
            <w:noWrap w:val="0"/>
            <w:tcMar>
              <w:top w:w="0" w:type="dxa"/>
              <w:left w:w="0" w:type="dxa"/>
              <w:bottom w:w="0" w:type="dxa"/>
              <w:right w:w="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对水利领域依法必须进行招标的项目，招标人不按照规定组建评标委员会，或者确定、更换评标委员会成员违反招标投标法和招标投标法实施条例规定行为的行政处罚</w:t>
            </w:r>
          </w:p>
        </w:tc>
        <w:tc>
          <w:tcPr>
            <w:tcW w:w="6711"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《中华人民共和国招标投标法实施条例》第七十条第一款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《工程建设项目施工招标投标办法》第七十九条 依法必须进行招标的项目的招标人不按照规定组建评标委员会，或者确定、更换评标委员会成员违反招标投标法和招标投标法实施条例规定的，由有关行政监督部门责令改正，可以处10万元以下的罚款，对单位直接负责的主管人员和其他直接责任人员依法给予处分；违法确定或者更换的评标委员会成员作出的评审决定无效，依法重新进行评审。</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《工程建设项目勘察设计招标投标办法》第五十三条第二款 依法必须进行招标的项目的招标人不按照规定组建评标委员会，或者确定、更换评标委员会成员违反招标投标法和招标投标法实施条例规定的，由有关行政监督部门责令改正，可以处10万元以下的罚款，对单位直接负责的主管人员和其他直接责任人员依法给予处分；违法确定或者更换的评标委员会成员作出的评审结论无效，依法重新进行评审。</w:t>
            </w:r>
          </w:p>
        </w:tc>
        <w:tc>
          <w:tcPr>
            <w:tcW w:w="151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水利领域依法必须进行招标的项目，招标人不按照规定组建评标委员会，或者确定、更换评标委员会成员违反招标投标法和招标投标法实施条例规定的</w:t>
            </w:r>
          </w:p>
        </w:tc>
        <w:tc>
          <w:tcPr>
            <w:tcW w:w="54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轻微</w:t>
            </w:r>
          </w:p>
        </w:tc>
        <w:tc>
          <w:tcPr>
            <w:tcW w:w="173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z w:val="18"/>
                <w:szCs w:val="18"/>
                <w:highlight w:val="none"/>
                <w:vertAlign w:val="baseline"/>
              </w:rPr>
              <w:t>及时改正，且没有造成危害后果的</w:t>
            </w:r>
          </w:p>
        </w:tc>
        <w:tc>
          <w:tcPr>
            <w:tcW w:w="270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2"/>
                <w:sz w:val="18"/>
                <w:szCs w:val="18"/>
                <w:highlight w:val="none"/>
                <w:vertAlign w:val="baseline"/>
                <w:lang w:val="en-US" w:eastAsia="zh-CN" w:bidi="ar-SA"/>
              </w:rPr>
              <w:t>不予处罚</w:t>
            </w:r>
          </w:p>
        </w:tc>
        <w:tc>
          <w:tcPr>
            <w:tcW w:w="49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831" w:hRule="atLeast"/>
          <w:jc w:val="center"/>
        </w:trPr>
        <w:tc>
          <w:tcPr>
            <w:tcW w:w="486"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shd w:val="clear" w:color="auto" w:fill="auto"/>
                <w:vertAlign w:val="baseline"/>
                <w:lang w:val="en-US" w:eastAsia="zh-CN"/>
              </w:rPr>
            </w:pPr>
            <w:r>
              <w:rPr>
                <w:rFonts w:hint="eastAsia" w:ascii="宋体" w:hAnsi="宋体" w:eastAsia="宋体" w:cs="宋体"/>
                <w:color w:val="000000"/>
                <w:sz w:val="18"/>
                <w:szCs w:val="18"/>
                <w:shd w:val="clear" w:color="auto" w:fill="auto"/>
                <w:vertAlign w:val="baseline"/>
                <w:lang w:val="en-US" w:eastAsia="zh-CN"/>
              </w:rPr>
              <w:t>128</w:t>
            </w:r>
          </w:p>
        </w:tc>
        <w:tc>
          <w:tcPr>
            <w:tcW w:w="1283" w:type="dxa"/>
            <w:vMerge w:val="restart"/>
            <w:noWrap w:val="0"/>
            <w:tcMar>
              <w:top w:w="0" w:type="dxa"/>
              <w:left w:w="0" w:type="dxa"/>
              <w:bottom w:w="0" w:type="dxa"/>
              <w:right w:w="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对水利领域依法必须进行招标的项目，招标人无正当理由不发出中标通知书，中标通知书发出后无正当理由改变中标结果等行为的行政处罚</w:t>
            </w:r>
          </w:p>
        </w:tc>
        <w:tc>
          <w:tcPr>
            <w:tcW w:w="6711"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《中华人民共和国招标投标法实施条例》第七十三条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（一）无正当理由不发出中标通知书；（三）中标通知书发出后无正当理由改变中标结果；（四）无正当理由不与中标人订立合同；（五）在订立合同时向中标人提出附加条件。</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《工程建设项目施工招标投标办法》第八十条 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（一）无正当理由不发出中标通知书；（三）中标通知书发出后无正当理由改变中标结果；（四）无正当理由不与中标人订立合同；（五）在订立合同时向中标人提出附加条件。</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《工程建设项目货物招标投标办法》第五十八条第一款 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（一）无正当理由不发出中标通知书；（三）中标通知书发出后无正当理由改变中标结果；（四）无正当理由不与中标人订立合同；（五）在订立合同时向中标人提出附加条件。</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《评标委员会和评标方法暂行规定》第五十五条 招标人有下列情形之一的，责令改正，可以处中标项目金额千分之十以下的罚款；给他人造成损失的，依法承担赔偿责任；对单位直接负责的主管人员和其他直接责任人员依法给予处分：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（一）无正当理由不发出中标通知书； （三）中标通知书发出后无正当理由改变中标结果；（四）无正当理由不与中标人订立合同；（五）在订立合同时向中标人提出附加条件。</w:t>
            </w:r>
          </w:p>
        </w:tc>
        <w:tc>
          <w:tcPr>
            <w:tcW w:w="151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水利领域依法必须进行招标的项目，招标人无正当理由不发出中标通知书的</w:t>
            </w:r>
          </w:p>
        </w:tc>
        <w:tc>
          <w:tcPr>
            <w:tcW w:w="54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轻微</w:t>
            </w:r>
          </w:p>
        </w:tc>
        <w:tc>
          <w:tcPr>
            <w:tcW w:w="173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highlight w:val="none"/>
                <w:vertAlign w:val="baseline"/>
              </w:rPr>
              <w:t>初次违法，且没有造成危害后果的</w:t>
            </w:r>
          </w:p>
        </w:tc>
        <w:tc>
          <w:tcPr>
            <w:tcW w:w="270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2"/>
                <w:sz w:val="18"/>
                <w:szCs w:val="18"/>
                <w:highlight w:val="none"/>
                <w:vertAlign w:val="baseline"/>
                <w:lang w:val="en-US" w:eastAsia="zh-CN" w:bidi="ar-SA"/>
              </w:rPr>
              <w:t>不予处罚</w:t>
            </w:r>
          </w:p>
        </w:tc>
        <w:tc>
          <w:tcPr>
            <w:tcW w:w="49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094" w:hRule="atLeast"/>
          <w:jc w:val="center"/>
        </w:trPr>
        <w:tc>
          <w:tcPr>
            <w:tcW w:w="486"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shd w:val="clear" w:color="auto" w:fill="auto"/>
                <w:vertAlign w:val="baseline"/>
                <w:lang w:val="en-US" w:eastAsia="zh-CN"/>
              </w:rPr>
            </w:pPr>
          </w:p>
        </w:tc>
        <w:tc>
          <w:tcPr>
            <w:tcW w:w="1283" w:type="dxa"/>
            <w:vMerge w:val="continue"/>
            <w:noWrap w:val="0"/>
            <w:tcMar>
              <w:top w:w="0" w:type="dxa"/>
              <w:left w:w="0" w:type="dxa"/>
              <w:bottom w:w="0" w:type="dxa"/>
              <w:right w:w="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p>
        </w:tc>
        <w:tc>
          <w:tcPr>
            <w:tcW w:w="6711"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p>
        </w:tc>
        <w:tc>
          <w:tcPr>
            <w:tcW w:w="151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招标人不按照规定确定中标人的</w:t>
            </w:r>
          </w:p>
        </w:tc>
        <w:tc>
          <w:tcPr>
            <w:tcW w:w="54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轻微</w:t>
            </w:r>
          </w:p>
        </w:tc>
        <w:tc>
          <w:tcPr>
            <w:tcW w:w="173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z w:val="18"/>
                <w:szCs w:val="18"/>
                <w:highlight w:val="none"/>
                <w:vertAlign w:val="baseline"/>
              </w:rPr>
              <w:t>初次违法，且没有造成危害后果的</w:t>
            </w:r>
          </w:p>
        </w:tc>
        <w:tc>
          <w:tcPr>
            <w:tcW w:w="270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2"/>
                <w:sz w:val="18"/>
                <w:szCs w:val="18"/>
                <w:highlight w:val="none"/>
                <w:vertAlign w:val="baseline"/>
                <w:lang w:val="en-US" w:eastAsia="zh-CN" w:bidi="ar-SA"/>
              </w:rPr>
              <w:t>不予处罚</w:t>
            </w:r>
          </w:p>
        </w:tc>
        <w:tc>
          <w:tcPr>
            <w:tcW w:w="49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34" w:hRule="atLeast"/>
          <w:jc w:val="center"/>
        </w:trPr>
        <w:tc>
          <w:tcPr>
            <w:tcW w:w="486"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shd w:val="clear" w:color="auto" w:fill="auto"/>
                <w:vertAlign w:val="baseline"/>
                <w:lang w:val="en-US" w:eastAsia="zh-CN"/>
              </w:rPr>
            </w:pPr>
          </w:p>
        </w:tc>
        <w:tc>
          <w:tcPr>
            <w:tcW w:w="1283" w:type="dxa"/>
            <w:vMerge w:val="continue"/>
            <w:noWrap w:val="0"/>
            <w:tcMar>
              <w:top w:w="0" w:type="dxa"/>
              <w:left w:w="0" w:type="dxa"/>
              <w:bottom w:w="0" w:type="dxa"/>
              <w:right w:w="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p>
        </w:tc>
        <w:tc>
          <w:tcPr>
            <w:tcW w:w="6711"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p>
        </w:tc>
        <w:tc>
          <w:tcPr>
            <w:tcW w:w="151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中标通知书发出后无正当理由改变中标结果的</w:t>
            </w:r>
          </w:p>
        </w:tc>
        <w:tc>
          <w:tcPr>
            <w:tcW w:w="54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轻微</w:t>
            </w:r>
          </w:p>
        </w:tc>
        <w:tc>
          <w:tcPr>
            <w:tcW w:w="173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highlight w:val="none"/>
                <w:vertAlign w:val="baseline"/>
              </w:rPr>
              <w:t>初次违法，且没有造成危害后果的</w:t>
            </w:r>
          </w:p>
        </w:tc>
        <w:tc>
          <w:tcPr>
            <w:tcW w:w="270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2"/>
                <w:sz w:val="18"/>
                <w:szCs w:val="18"/>
                <w:highlight w:val="none"/>
                <w:vertAlign w:val="baseline"/>
                <w:lang w:val="en-US" w:eastAsia="zh-CN" w:bidi="ar-SA"/>
              </w:rPr>
              <w:t>不予处罚</w:t>
            </w:r>
          </w:p>
        </w:tc>
        <w:tc>
          <w:tcPr>
            <w:tcW w:w="49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65" w:hRule="atLeast"/>
          <w:jc w:val="center"/>
        </w:trPr>
        <w:tc>
          <w:tcPr>
            <w:tcW w:w="486"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shd w:val="clear" w:color="auto" w:fill="auto"/>
                <w:vertAlign w:val="baseline"/>
                <w:lang w:val="en-US" w:eastAsia="zh-CN"/>
              </w:rPr>
            </w:pPr>
          </w:p>
        </w:tc>
        <w:tc>
          <w:tcPr>
            <w:tcW w:w="1283" w:type="dxa"/>
            <w:vMerge w:val="continue"/>
            <w:noWrap w:val="0"/>
            <w:tcMar>
              <w:top w:w="0" w:type="dxa"/>
              <w:left w:w="0" w:type="dxa"/>
              <w:bottom w:w="0" w:type="dxa"/>
              <w:right w:w="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p>
        </w:tc>
        <w:tc>
          <w:tcPr>
            <w:tcW w:w="6711"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p>
        </w:tc>
        <w:tc>
          <w:tcPr>
            <w:tcW w:w="151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招标人无正当理由不与中标人订立合同的</w:t>
            </w:r>
            <w:bookmarkStart w:id="0" w:name="_GoBack"/>
            <w:bookmarkEnd w:id="0"/>
          </w:p>
        </w:tc>
        <w:tc>
          <w:tcPr>
            <w:tcW w:w="542"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轻微</w:t>
            </w:r>
          </w:p>
        </w:tc>
        <w:tc>
          <w:tcPr>
            <w:tcW w:w="173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z w:val="18"/>
                <w:szCs w:val="18"/>
                <w:highlight w:val="none"/>
                <w:vertAlign w:val="baseline"/>
              </w:rPr>
              <w:t>及时改正，且没有造成危害后果的</w:t>
            </w:r>
          </w:p>
        </w:tc>
        <w:tc>
          <w:tcPr>
            <w:tcW w:w="270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2"/>
                <w:sz w:val="18"/>
                <w:szCs w:val="18"/>
                <w:highlight w:val="none"/>
                <w:vertAlign w:val="baseline"/>
                <w:lang w:val="en-US" w:eastAsia="zh-CN" w:bidi="ar-SA"/>
              </w:rPr>
              <w:t>不予处罚</w:t>
            </w:r>
          </w:p>
        </w:tc>
        <w:tc>
          <w:tcPr>
            <w:tcW w:w="49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221" w:hRule="atLeast"/>
          <w:jc w:val="center"/>
        </w:trPr>
        <w:tc>
          <w:tcPr>
            <w:tcW w:w="486"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shd w:val="clear" w:color="auto" w:fill="auto"/>
                <w:vertAlign w:val="baseline"/>
                <w:lang w:val="en-US" w:eastAsia="zh-CN"/>
              </w:rPr>
            </w:pPr>
          </w:p>
        </w:tc>
        <w:tc>
          <w:tcPr>
            <w:tcW w:w="1283" w:type="dxa"/>
            <w:vMerge w:val="continue"/>
            <w:noWrap w:val="0"/>
            <w:tcMar>
              <w:top w:w="0" w:type="dxa"/>
              <w:left w:w="0" w:type="dxa"/>
              <w:bottom w:w="0" w:type="dxa"/>
              <w:right w:w="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p>
        </w:tc>
        <w:tc>
          <w:tcPr>
            <w:tcW w:w="6711"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p>
        </w:tc>
        <w:tc>
          <w:tcPr>
            <w:tcW w:w="151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招标人在订立合同时向中标人提出附加条件的</w:t>
            </w:r>
          </w:p>
        </w:tc>
        <w:tc>
          <w:tcPr>
            <w:tcW w:w="54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轻微</w:t>
            </w:r>
          </w:p>
        </w:tc>
        <w:tc>
          <w:tcPr>
            <w:tcW w:w="173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sz w:val="18"/>
                <w:szCs w:val="18"/>
                <w:highlight w:val="none"/>
                <w:vertAlign w:val="baseline"/>
              </w:rPr>
              <w:t>及时改正，且没有造成危害后果的</w:t>
            </w:r>
          </w:p>
        </w:tc>
        <w:tc>
          <w:tcPr>
            <w:tcW w:w="270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2"/>
                <w:sz w:val="18"/>
                <w:szCs w:val="18"/>
                <w:highlight w:val="none"/>
                <w:vertAlign w:val="baseline"/>
                <w:lang w:val="en-US" w:eastAsia="zh-CN" w:bidi="ar-SA"/>
              </w:rPr>
              <w:t>不予处罚</w:t>
            </w:r>
          </w:p>
        </w:tc>
        <w:tc>
          <w:tcPr>
            <w:tcW w:w="49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745" w:hRule="atLeast"/>
          <w:jc w:val="center"/>
        </w:trPr>
        <w:tc>
          <w:tcPr>
            <w:tcW w:w="486"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shd w:val="clear" w:color="auto" w:fill="auto"/>
                <w:vertAlign w:val="baseline"/>
                <w:lang w:val="en-US" w:eastAsia="zh-CN"/>
              </w:rPr>
            </w:pPr>
            <w:r>
              <w:rPr>
                <w:rFonts w:hint="eastAsia" w:ascii="宋体" w:hAnsi="宋体" w:eastAsia="宋体" w:cs="宋体"/>
                <w:color w:val="000000"/>
                <w:sz w:val="18"/>
                <w:szCs w:val="18"/>
                <w:shd w:val="clear" w:color="auto" w:fill="auto"/>
                <w:vertAlign w:val="baseline"/>
                <w:lang w:val="en-US" w:eastAsia="zh-CN"/>
              </w:rPr>
              <w:t>133</w:t>
            </w:r>
          </w:p>
        </w:tc>
        <w:tc>
          <w:tcPr>
            <w:tcW w:w="1283" w:type="dxa"/>
            <w:noWrap w:val="0"/>
            <w:tcMar>
              <w:top w:w="0" w:type="dxa"/>
              <w:left w:w="0" w:type="dxa"/>
              <w:bottom w:w="0" w:type="dxa"/>
              <w:right w:w="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auto"/>
                <w:sz w:val="18"/>
                <w:szCs w:val="18"/>
                <w:vertAlign w:val="baseline"/>
                <w:lang w:val="en-US" w:eastAsia="zh-CN"/>
              </w:rPr>
              <w:t>对水利领域评标委员会成员应当回避而不回避、擅离职守、不按照招标文件规定的评标标准和方法评标等行为的行政处罚</w:t>
            </w:r>
          </w:p>
        </w:tc>
        <w:tc>
          <w:tcPr>
            <w:tcW w:w="6711"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《中华人民共和国招标投标法实施条例》第七十一条 评标委员会成员有下列行为之一的，由有关行政监督部门责令改正；情节严重的，禁止其在一定期限内参加依法必须进行招标的项目的评标；情节特别严重的，取消其担任评标委员会成员的资格：</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《工程建设项目货物招标投标办法》第五十七条 评标委员会成员有下列行为之一的，由有关行政监督部门责令改正；情节严重的，禁止其在一定期限内参加依法必须进行招标的项目的评标；情节特别严重的，取消其担任评标委员会成员的资格：</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《工程建设项目勘察设计招标投标办法》第五十四条 评标委员会成员有下列行为之一的，由有关行政监督部门责令改正；情节严重的，禁止其在一定期限内参加依法必须进行招标的项目的评标；情节特别严重的，取消其担任评标委员会成员的资格：</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一）不按照招标文件规定的评标标准和方法评标；（二）应当回避而不回避；（三）擅离职守；（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《评标委员会和评标方法暂行规定》第五十三条 评标委员会成员有下列行为之一的，由有关行政监督部门责令改正；情节严重的，禁止其在一定期限内参加依法必须进行招标的项目的评标；情节特别严重的，取消其担任评标委员会成员的资格：</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p>
        </w:tc>
        <w:tc>
          <w:tcPr>
            <w:tcW w:w="151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水利领域评标委员会成员应当回避而不回避、擅离职守、不按照招标文件规定的评标标准和方法评标的</w:t>
            </w:r>
          </w:p>
        </w:tc>
        <w:tc>
          <w:tcPr>
            <w:tcW w:w="54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轻微</w:t>
            </w:r>
          </w:p>
        </w:tc>
        <w:tc>
          <w:tcPr>
            <w:tcW w:w="1739" w:type="dxa"/>
            <w:noWrap w:val="0"/>
            <w:tcMar>
              <w:top w:w="0" w:type="dxa"/>
              <w:left w:w="0" w:type="dxa"/>
              <w:bottom w:w="0" w:type="dxa"/>
              <w:right w:w="0" w:type="dxa"/>
            </w:tcMar>
            <w:vAlign w:val="center"/>
          </w:tcPr>
          <w:p>
            <w:pPr>
              <w:pStyle w:val="10"/>
              <w:keepNext w:val="0"/>
              <w:keepLines w:val="0"/>
              <w:pageBreakBefore w:val="0"/>
              <w:widowControl w:val="0"/>
              <w:kinsoku/>
              <w:wordWrap/>
              <w:overflowPunct/>
              <w:topLinePunct w:val="0"/>
              <w:autoSpaceDE/>
              <w:autoSpaceDN/>
              <w:bidi w:val="0"/>
              <w:adjustRightInd/>
              <w:snapToGrid/>
              <w:spacing w:beforeAutospacing="0" w:afterAutospacing="0" w:line="260" w:lineRule="exact"/>
              <w:jc w:val="both"/>
              <w:rPr>
                <w:rFonts w:hint="eastAsia" w:ascii="宋体" w:hAnsi="宋体" w:eastAsia="宋体" w:cs="宋体"/>
                <w:color w:val="000000"/>
                <w:sz w:val="18"/>
                <w:szCs w:val="18"/>
                <w:vertAlign w:val="baseline"/>
              </w:rPr>
            </w:pPr>
            <w:r>
              <w:rPr>
                <w:rFonts w:hint="eastAsia" w:ascii="宋体" w:hAnsi="宋体" w:eastAsia="宋体" w:cs="宋体"/>
                <w:color w:val="auto"/>
                <w:sz w:val="18"/>
                <w:szCs w:val="18"/>
                <w:highlight w:val="none"/>
              </w:rPr>
              <w:t>尚未影响到招标活动正常进行的，并在责令限期内改正的</w:t>
            </w:r>
          </w:p>
        </w:tc>
        <w:tc>
          <w:tcPr>
            <w:tcW w:w="2702" w:type="dxa"/>
            <w:noWrap w:val="0"/>
            <w:tcMar>
              <w:top w:w="0" w:type="dxa"/>
              <w:left w:w="0" w:type="dxa"/>
              <w:bottom w:w="0" w:type="dxa"/>
              <w:right w:w="0" w:type="dxa"/>
            </w:tcMar>
            <w:vAlign w:val="center"/>
          </w:tcPr>
          <w:p>
            <w:pPr>
              <w:pStyle w:val="10"/>
              <w:keepNext w:val="0"/>
              <w:keepLines w:val="0"/>
              <w:pageBreakBefore w:val="0"/>
              <w:widowControl w:val="0"/>
              <w:kinsoku/>
              <w:wordWrap/>
              <w:overflowPunct/>
              <w:topLinePunct w:val="0"/>
              <w:autoSpaceDE/>
              <w:autoSpaceDN/>
              <w:bidi w:val="0"/>
              <w:adjustRightInd/>
              <w:snapToGrid/>
              <w:spacing w:beforeAutospacing="0" w:afterAutospacing="0" w:line="260" w:lineRule="exact"/>
              <w:jc w:val="both"/>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auto"/>
                <w:sz w:val="18"/>
                <w:szCs w:val="18"/>
                <w:highlight w:val="none"/>
              </w:rPr>
              <w:t>不予处罚</w:t>
            </w:r>
          </w:p>
        </w:tc>
        <w:tc>
          <w:tcPr>
            <w:tcW w:w="49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14" w:hRule="atLeast"/>
          <w:jc w:val="center"/>
        </w:trPr>
        <w:tc>
          <w:tcPr>
            <w:tcW w:w="486"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sz w:val="18"/>
                <w:szCs w:val="18"/>
                <w:shd w:val="clear" w:color="auto" w:fill="auto"/>
                <w:vertAlign w:val="baseline"/>
                <w:lang w:val="en-US" w:eastAsia="zh-CN"/>
              </w:rPr>
            </w:pPr>
            <w:r>
              <w:rPr>
                <w:rFonts w:hint="eastAsia" w:ascii="宋体" w:hAnsi="宋体" w:eastAsia="宋体" w:cs="宋体"/>
                <w:color w:val="000000"/>
                <w:sz w:val="18"/>
                <w:szCs w:val="18"/>
                <w:shd w:val="clear" w:color="auto" w:fill="auto"/>
                <w:vertAlign w:val="baseline"/>
                <w:lang w:val="en-US" w:eastAsia="zh-CN"/>
              </w:rPr>
              <w:t>135</w:t>
            </w:r>
          </w:p>
        </w:tc>
        <w:tc>
          <w:tcPr>
            <w:tcW w:w="1283" w:type="dxa"/>
            <w:noWrap w:val="0"/>
            <w:tcMar>
              <w:top w:w="0" w:type="dxa"/>
              <w:left w:w="0" w:type="dxa"/>
              <w:bottom w:w="0" w:type="dxa"/>
              <w:right w:w="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对水利领域中标人不履行与招标人订立的合同，不按照与招标人订立的合同履行义务等行为的行政处罚</w:t>
            </w:r>
          </w:p>
        </w:tc>
        <w:tc>
          <w:tcPr>
            <w:tcW w:w="6711"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《中华人民共和国招标投标法》第六十条 中标人不履行与招标人订立的合同的，履约保证金不予退还，给招标人造成的损失超过履约保证金数额的，还应当对超过部分予以赔偿；没有提交履约保证金的，应当对招标人的损失承担赔偿责任。</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中标人不按照与招标人订立的合同履行义务，情节严重的，取消其二年至五年内参加依法必须进行招标的项目的投标资格并予以公告，直至由工商行政管理机关吊销营业执照。</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因不可抗力不能履行合同的，不适用前两款规定。</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《中华人民共和国招标投标法实施条例》第七十四条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《评标委员会和评标方法暂行规定》第五十七条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《工程建设项目货物招标投标办法》第五十八条第二款 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招标的项目的中标人，由有关行政监督部门责令改正，可以处中标金额千分之十以下罚款。</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《工程建设项目施工招标投标办法》第八十一条 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施工招标的项目的中标人，由有关行政监督部门责令改正，可以处中标金额千分之十以下罚款。</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第八十四条 中标人不履行与招标人订立的合同的，履约保证金不予退还，给招标人造成的损失超过履约保证金数额的，还应当对超过部分予以赔偿；没有提交履约保证金的，应当对招标人的损失承担赔偿责任。</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中标人不按照与招标人订立的合同履行义务，情节严重的，有关行政监督部门取消其二至五年参加招标项目的投标资格并予以公告，直至由工商行政管理机关吊销营业执照。</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因不可抗力不能履行合同的，不适用前两款规定。</w:t>
            </w:r>
          </w:p>
        </w:tc>
        <w:tc>
          <w:tcPr>
            <w:tcW w:w="151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水利领域中标人不履行与招标人订立的合同，不按照与招标人订立的合同履行义务的</w:t>
            </w:r>
          </w:p>
        </w:tc>
        <w:tc>
          <w:tcPr>
            <w:tcW w:w="54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轻微</w:t>
            </w:r>
          </w:p>
        </w:tc>
        <w:tc>
          <w:tcPr>
            <w:tcW w:w="173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b/>
                <w:bCs/>
                <w:color w:val="000000"/>
                <w:sz w:val="18"/>
                <w:szCs w:val="18"/>
                <w:vertAlign w:val="baseline"/>
              </w:rPr>
            </w:pPr>
            <w:r>
              <w:rPr>
                <w:rFonts w:hint="eastAsia" w:ascii="宋体" w:hAnsi="宋体" w:eastAsia="宋体" w:cs="宋体"/>
                <w:color w:val="000000"/>
                <w:sz w:val="18"/>
                <w:szCs w:val="18"/>
                <w:highlight w:val="none"/>
                <w:vertAlign w:val="baseline"/>
              </w:rPr>
              <w:t>及时改正，且没有造成危害后果的</w:t>
            </w:r>
          </w:p>
        </w:tc>
        <w:tc>
          <w:tcPr>
            <w:tcW w:w="270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b/>
                <w:bCs/>
                <w:color w:val="000000"/>
                <w:kern w:val="2"/>
                <w:sz w:val="18"/>
                <w:szCs w:val="18"/>
                <w:vertAlign w:val="baseline"/>
                <w:lang w:val="en-US" w:eastAsia="zh-CN" w:bidi="ar-SA"/>
              </w:rPr>
            </w:pPr>
            <w:r>
              <w:rPr>
                <w:rFonts w:hint="eastAsia" w:ascii="宋体" w:hAnsi="宋体" w:eastAsia="宋体" w:cs="宋体"/>
                <w:color w:val="000000"/>
                <w:kern w:val="2"/>
                <w:sz w:val="18"/>
                <w:szCs w:val="18"/>
                <w:highlight w:val="none"/>
                <w:vertAlign w:val="baseline"/>
                <w:lang w:val="en-US" w:eastAsia="zh-CN" w:bidi="ar-SA"/>
              </w:rPr>
              <w:t>不予处罚</w:t>
            </w:r>
          </w:p>
        </w:tc>
        <w:tc>
          <w:tcPr>
            <w:tcW w:w="492"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vertAlign w:val="baseline"/>
              </w:rPr>
            </w:pPr>
          </w:p>
        </w:tc>
      </w:tr>
    </w:tbl>
    <w:p>
      <w:pPr>
        <w:tabs>
          <w:tab w:val="left" w:pos="3402"/>
        </w:tabs>
        <w:spacing w:line="560" w:lineRule="exact"/>
        <w:ind w:firstLine="280" w:firstLineChars="100"/>
        <w:textAlignment w:val="bottom"/>
        <w:rPr>
          <w:rFonts w:hint="default" w:ascii="仿宋_GB2312" w:hAnsi="仿宋_GB2312" w:eastAsia="仿宋_GB2312" w:cs="仿宋_GB2312"/>
          <w:kern w:val="2"/>
          <w:sz w:val="28"/>
          <w:szCs w:val="28"/>
          <w:lang w:val="en-US" w:eastAsia="zh-CN"/>
        </w:rPr>
      </w:pPr>
    </w:p>
    <w:sectPr>
      <w:footerReference r:id="rId9" w:type="default"/>
      <w:footerReference r:id="rId10" w:type="even"/>
      <w:pgSz w:w="16838" w:h="11905" w:orient="landscape"/>
      <w:pgMar w:top="1587" w:right="2098" w:bottom="1474" w:left="1984" w:header="851" w:footer="1191" w:gutter="0"/>
      <w:pgNumType w:fmt="decimal"/>
      <w:cols w:space="0" w:num="1"/>
      <w:rtlGutter w:val="0"/>
      <w:docGrid w:type="lines" w:linePitch="3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7230C6-9C6E-4F1C-AC25-B8E63F8B9CA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CD76316E-DFEE-4660-8ABA-AD74D23C6400}"/>
  </w:font>
  <w:font w:name="方正小标宋简体">
    <w:panose1 w:val="03000509000000000000"/>
    <w:charset w:val="86"/>
    <w:family w:val="auto"/>
    <w:pitch w:val="default"/>
    <w:sig w:usb0="00000001" w:usb1="080E0000" w:usb2="00000000" w:usb3="00000000" w:csb0="00040000" w:csb1="00000000"/>
    <w:embedRegular r:id="rId3" w:fontKey="{2A695B4F-EBED-4711-9921-FF573A4C6C9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jc w:val="center"/>
      <w:rPr>
        <w:rFonts w:hint="default" w:eastAsia="宋体"/>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259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80" w:firstLineChars="100"/>
      <w:jc w:val="cente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259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259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259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259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259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left"/>
      <w:rPr>
        <w:rFonts w:hint="default" w:eastAsia="宋体"/>
        <w:sz w:val="28"/>
        <w:szCs w:val="28"/>
        <w:lang w:val="en-US" w:eastAsia="zh-C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180" w:firstLineChars="100"/>
      <w:jc w:val="lef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evenAndOddHeaders w:val="1"/>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ZkNTU4YmE0NTQ1NWExZjhmNzliZjkwMDVkMjMwYjgifQ=="/>
    <w:docVar w:name="KGWebUrl" w:val="http://10.242.251.73:8089/OfficeServer?token=4b2030bd4d22a6265c791530c9d05669"/>
  </w:docVars>
  <w:rsids>
    <w:rsidRoot w:val="00882148"/>
    <w:rsid w:val="000311CA"/>
    <w:rsid w:val="000346BD"/>
    <w:rsid w:val="000C6594"/>
    <w:rsid w:val="0010057F"/>
    <w:rsid w:val="00122F1A"/>
    <w:rsid w:val="00155351"/>
    <w:rsid w:val="00165F6B"/>
    <w:rsid w:val="00201D18"/>
    <w:rsid w:val="00320798"/>
    <w:rsid w:val="00335CA4"/>
    <w:rsid w:val="004B2009"/>
    <w:rsid w:val="004F3484"/>
    <w:rsid w:val="00514205"/>
    <w:rsid w:val="00520EFD"/>
    <w:rsid w:val="005834DB"/>
    <w:rsid w:val="00593490"/>
    <w:rsid w:val="005A0B9B"/>
    <w:rsid w:val="005B39E3"/>
    <w:rsid w:val="006735E1"/>
    <w:rsid w:val="0069762C"/>
    <w:rsid w:val="00705289"/>
    <w:rsid w:val="00715489"/>
    <w:rsid w:val="007E71FE"/>
    <w:rsid w:val="00882148"/>
    <w:rsid w:val="008E784D"/>
    <w:rsid w:val="00937E31"/>
    <w:rsid w:val="009627AA"/>
    <w:rsid w:val="009F4B25"/>
    <w:rsid w:val="009F7B21"/>
    <w:rsid w:val="00A869DE"/>
    <w:rsid w:val="00B62ADC"/>
    <w:rsid w:val="00B64093"/>
    <w:rsid w:val="00B92AD8"/>
    <w:rsid w:val="00BF7EA6"/>
    <w:rsid w:val="00C46D13"/>
    <w:rsid w:val="00CE6550"/>
    <w:rsid w:val="00D07A92"/>
    <w:rsid w:val="00D9301B"/>
    <w:rsid w:val="00D94AB9"/>
    <w:rsid w:val="00DA00FD"/>
    <w:rsid w:val="00DB383B"/>
    <w:rsid w:val="00E51549"/>
    <w:rsid w:val="00E83A32"/>
    <w:rsid w:val="00EC0667"/>
    <w:rsid w:val="00EC3B33"/>
    <w:rsid w:val="00F1699F"/>
    <w:rsid w:val="00FD7962"/>
    <w:rsid w:val="01D17E11"/>
    <w:rsid w:val="0204247D"/>
    <w:rsid w:val="02D05560"/>
    <w:rsid w:val="02F27F8C"/>
    <w:rsid w:val="030449FF"/>
    <w:rsid w:val="03394EB3"/>
    <w:rsid w:val="03911568"/>
    <w:rsid w:val="03AA689C"/>
    <w:rsid w:val="04830CA0"/>
    <w:rsid w:val="04E1057C"/>
    <w:rsid w:val="05595CE0"/>
    <w:rsid w:val="060C1C90"/>
    <w:rsid w:val="06400C4E"/>
    <w:rsid w:val="07006CB2"/>
    <w:rsid w:val="076A2F4C"/>
    <w:rsid w:val="07E86EA8"/>
    <w:rsid w:val="088129C4"/>
    <w:rsid w:val="08AF31BD"/>
    <w:rsid w:val="08CE0B51"/>
    <w:rsid w:val="08D37B58"/>
    <w:rsid w:val="093049EC"/>
    <w:rsid w:val="099472E7"/>
    <w:rsid w:val="09E94B0D"/>
    <w:rsid w:val="09F91840"/>
    <w:rsid w:val="0A037FC9"/>
    <w:rsid w:val="0A5F65EF"/>
    <w:rsid w:val="0A682522"/>
    <w:rsid w:val="0A96708F"/>
    <w:rsid w:val="0A9B3772"/>
    <w:rsid w:val="0ABA3AEE"/>
    <w:rsid w:val="0ACE4A7B"/>
    <w:rsid w:val="0BB62D53"/>
    <w:rsid w:val="0BF21886"/>
    <w:rsid w:val="0C071DA2"/>
    <w:rsid w:val="0C6D5B7E"/>
    <w:rsid w:val="0C931AD8"/>
    <w:rsid w:val="0CC779D3"/>
    <w:rsid w:val="0EAA5A1E"/>
    <w:rsid w:val="0EBE6504"/>
    <w:rsid w:val="0FC85F3C"/>
    <w:rsid w:val="0FDA5C70"/>
    <w:rsid w:val="105A290D"/>
    <w:rsid w:val="10856DCC"/>
    <w:rsid w:val="109F7CDC"/>
    <w:rsid w:val="10BA37A2"/>
    <w:rsid w:val="10E53EE3"/>
    <w:rsid w:val="11084FF9"/>
    <w:rsid w:val="1131366D"/>
    <w:rsid w:val="11335637"/>
    <w:rsid w:val="11916802"/>
    <w:rsid w:val="127B0F06"/>
    <w:rsid w:val="12D07597"/>
    <w:rsid w:val="12D76496"/>
    <w:rsid w:val="13465E30"/>
    <w:rsid w:val="134F24D1"/>
    <w:rsid w:val="13CB12D1"/>
    <w:rsid w:val="13E72452"/>
    <w:rsid w:val="13F5799A"/>
    <w:rsid w:val="143E08AC"/>
    <w:rsid w:val="145653EB"/>
    <w:rsid w:val="146A2508"/>
    <w:rsid w:val="14ED0F85"/>
    <w:rsid w:val="159E5735"/>
    <w:rsid w:val="16533F2C"/>
    <w:rsid w:val="165C49E5"/>
    <w:rsid w:val="16F072C1"/>
    <w:rsid w:val="17292EA9"/>
    <w:rsid w:val="17302B35"/>
    <w:rsid w:val="179E3A27"/>
    <w:rsid w:val="180D4CD7"/>
    <w:rsid w:val="18383533"/>
    <w:rsid w:val="19677BB0"/>
    <w:rsid w:val="19942C8D"/>
    <w:rsid w:val="19A15E6A"/>
    <w:rsid w:val="19F80CA9"/>
    <w:rsid w:val="1A1A412A"/>
    <w:rsid w:val="1AAB65CD"/>
    <w:rsid w:val="1B567B99"/>
    <w:rsid w:val="1BB15E44"/>
    <w:rsid w:val="1BCC18A5"/>
    <w:rsid w:val="1C5B3C94"/>
    <w:rsid w:val="1CB4189C"/>
    <w:rsid w:val="1EB31B66"/>
    <w:rsid w:val="1EE91A2B"/>
    <w:rsid w:val="1EEE2B1C"/>
    <w:rsid w:val="1F811C64"/>
    <w:rsid w:val="1FC73169"/>
    <w:rsid w:val="206979A8"/>
    <w:rsid w:val="212C0AC3"/>
    <w:rsid w:val="213F1DD6"/>
    <w:rsid w:val="213F625C"/>
    <w:rsid w:val="217A6B95"/>
    <w:rsid w:val="220F3557"/>
    <w:rsid w:val="22280ABD"/>
    <w:rsid w:val="225F16C0"/>
    <w:rsid w:val="22AD2D70"/>
    <w:rsid w:val="23587C62"/>
    <w:rsid w:val="23622054"/>
    <w:rsid w:val="23A233FC"/>
    <w:rsid w:val="24782AD4"/>
    <w:rsid w:val="24C43A0A"/>
    <w:rsid w:val="25B35BEF"/>
    <w:rsid w:val="25BA212F"/>
    <w:rsid w:val="25C06315"/>
    <w:rsid w:val="25D16D75"/>
    <w:rsid w:val="261A6A42"/>
    <w:rsid w:val="269A7680"/>
    <w:rsid w:val="27181100"/>
    <w:rsid w:val="277D5407"/>
    <w:rsid w:val="278E4F1E"/>
    <w:rsid w:val="28D9546B"/>
    <w:rsid w:val="28EB2659"/>
    <w:rsid w:val="2ACA3FF6"/>
    <w:rsid w:val="2B060862"/>
    <w:rsid w:val="2B15352D"/>
    <w:rsid w:val="2B3F1D11"/>
    <w:rsid w:val="2B6111BF"/>
    <w:rsid w:val="2B8E1652"/>
    <w:rsid w:val="2B9D6077"/>
    <w:rsid w:val="2BE9310A"/>
    <w:rsid w:val="2BFF7666"/>
    <w:rsid w:val="2C7A4FE5"/>
    <w:rsid w:val="2C87274F"/>
    <w:rsid w:val="2C951DEF"/>
    <w:rsid w:val="2C9662B4"/>
    <w:rsid w:val="2CED0939"/>
    <w:rsid w:val="2CF73565"/>
    <w:rsid w:val="2D065927"/>
    <w:rsid w:val="2D331D0D"/>
    <w:rsid w:val="2DDA60A5"/>
    <w:rsid w:val="2E307230"/>
    <w:rsid w:val="2E4610C5"/>
    <w:rsid w:val="2EBC752D"/>
    <w:rsid w:val="2F15427C"/>
    <w:rsid w:val="2FCB53E9"/>
    <w:rsid w:val="2FFB1706"/>
    <w:rsid w:val="30696239"/>
    <w:rsid w:val="307F65FB"/>
    <w:rsid w:val="3112096E"/>
    <w:rsid w:val="311A1F18"/>
    <w:rsid w:val="31836B7D"/>
    <w:rsid w:val="319C4442"/>
    <w:rsid w:val="31F97D80"/>
    <w:rsid w:val="3251118A"/>
    <w:rsid w:val="32E75E2A"/>
    <w:rsid w:val="33833CFC"/>
    <w:rsid w:val="33D77C4D"/>
    <w:rsid w:val="34164C19"/>
    <w:rsid w:val="345066C8"/>
    <w:rsid w:val="349272BF"/>
    <w:rsid w:val="34DA79F4"/>
    <w:rsid w:val="355660E5"/>
    <w:rsid w:val="37426BA0"/>
    <w:rsid w:val="374A0936"/>
    <w:rsid w:val="38434688"/>
    <w:rsid w:val="398C207A"/>
    <w:rsid w:val="399F745E"/>
    <w:rsid w:val="3A331955"/>
    <w:rsid w:val="3A620E28"/>
    <w:rsid w:val="3A696247"/>
    <w:rsid w:val="3AF143FE"/>
    <w:rsid w:val="3B0C057D"/>
    <w:rsid w:val="3B2A1853"/>
    <w:rsid w:val="3B8857F0"/>
    <w:rsid w:val="3BF05D4F"/>
    <w:rsid w:val="3BF20CEE"/>
    <w:rsid w:val="3C2D6992"/>
    <w:rsid w:val="3CA134EE"/>
    <w:rsid w:val="3CA3704E"/>
    <w:rsid w:val="3D396C6A"/>
    <w:rsid w:val="3D3A24DE"/>
    <w:rsid w:val="3D677C57"/>
    <w:rsid w:val="3D7B5E91"/>
    <w:rsid w:val="3DB72FC9"/>
    <w:rsid w:val="3DFD4754"/>
    <w:rsid w:val="3E1000FA"/>
    <w:rsid w:val="3E430EEE"/>
    <w:rsid w:val="3E687A39"/>
    <w:rsid w:val="3E812ADB"/>
    <w:rsid w:val="3ED100BA"/>
    <w:rsid w:val="3F223776"/>
    <w:rsid w:val="3F665F5C"/>
    <w:rsid w:val="3F794F45"/>
    <w:rsid w:val="406E7B8B"/>
    <w:rsid w:val="4121062A"/>
    <w:rsid w:val="415D04B7"/>
    <w:rsid w:val="419929E5"/>
    <w:rsid w:val="429F13D7"/>
    <w:rsid w:val="42EA48FB"/>
    <w:rsid w:val="43D1290A"/>
    <w:rsid w:val="43DD46A1"/>
    <w:rsid w:val="44451A8B"/>
    <w:rsid w:val="445B749E"/>
    <w:rsid w:val="447B395C"/>
    <w:rsid w:val="44C304A5"/>
    <w:rsid w:val="44E87C10"/>
    <w:rsid w:val="450C69F1"/>
    <w:rsid w:val="45285209"/>
    <w:rsid w:val="45A6752F"/>
    <w:rsid w:val="46905A5F"/>
    <w:rsid w:val="46BF3036"/>
    <w:rsid w:val="46D5738A"/>
    <w:rsid w:val="47412FF1"/>
    <w:rsid w:val="480C7833"/>
    <w:rsid w:val="48691363"/>
    <w:rsid w:val="48C52312"/>
    <w:rsid w:val="492D638D"/>
    <w:rsid w:val="49C5081B"/>
    <w:rsid w:val="4A757567"/>
    <w:rsid w:val="4AFD06E3"/>
    <w:rsid w:val="4B161ACD"/>
    <w:rsid w:val="4B3F45FD"/>
    <w:rsid w:val="4B7122DD"/>
    <w:rsid w:val="4C220E08"/>
    <w:rsid w:val="4C327D7B"/>
    <w:rsid w:val="4CD82614"/>
    <w:rsid w:val="4CE2656B"/>
    <w:rsid w:val="4D106251"/>
    <w:rsid w:val="4D2271EB"/>
    <w:rsid w:val="4DAC0925"/>
    <w:rsid w:val="4E4F2DA9"/>
    <w:rsid w:val="4E821D07"/>
    <w:rsid w:val="4EBE3A8B"/>
    <w:rsid w:val="4EC72940"/>
    <w:rsid w:val="4EF34075"/>
    <w:rsid w:val="4F31425D"/>
    <w:rsid w:val="4F787E00"/>
    <w:rsid w:val="4F850C9A"/>
    <w:rsid w:val="507B4F07"/>
    <w:rsid w:val="50DD710A"/>
    <w:rsid w:val="512C5624"/>
    <w:rsid w:val="514069D9"/>
    <w:rsid w:val="522606C5"/>
    <w:rsid w:val="52390FA7"/>
    <w:rsid w:val="524E5317"/>
    <w:rsid w:val="52842622"/>
    <w:rsid w:val="52946E07"/>
    <w:rsid w:val="529F4D0C"/>
    <w:rsid w:val="52A25DF6"/>
    <w:rsid w:val="532105A3"/>
    <w:rsid w:val="533D4580"/>
    <w:rsid w:val="53773E15"/>
    <w:rsid w:val="537B7ABF"/>
    <w:rsid w:val="53B94C2F"/>
    <w:rsid w:val="541E0ABD"/>
    <w:rsid w:val="54A35BFD"/>
    <w:rsid w:val="54AE1ACF"/>
    <w:rsid w:val="54FA7FE7"/>
    <w:rsid w:val="555E75AF"/>
    <w:rsid w:val="5570405A"/>
    <w:rsid w:val="559A7000"/>
    <w:rsid w:val="561F5087"/>
    <w:rsid w:val="56467571"/>
    <w:rsid w:val="566F198B"/>
    <w:rsid w:val="56725887"/>
    <w:rsid w:val="56816334"/>
    <w:rsid w:val="572F0E69"/>
    <w:rsid w:val="57AC5A53"/>
    <w:rsid w:val="57E53BB3"/>
    <w:rsid w:val="58410DB4"/>
    <w:rsid w:val="584E40D2"/>
    <w:rsid w:val="590A5CA9"/>
    <w:rsid w:val="59EF0D2F"/>
    <w:rsid w:val="5A355549"/>
    <w:rsid w:val="5A6C0805"/>
    <w:rsid w:val="5AC870C9"/>
    <w:rsid w:val="5B167BEF"/>
    <w:rsid w:val="5B54091C"/>
    <w:rsid w:val="5B744166"/>
    <w:rsid w:val="5BEB03FB"/>
    <w:rsid w:val="5C1B42CB"/>
    <w:rsid w:val="5D00789F"/>
    <w:rsid w:val="5D796867"/>
    <w:rsid w:val="5D9A56C3"/>
    <w:rsid w:val="5DA54794"/>
    <w:rsid w:val="5DC13151"/>
    <w:rsid w:val="5F3A4EA1"/>
    <w:rsid w:val="5F732E51"/>
    <w:rsid w:val="5FC66C44"/>
    <w:rsid w:val="5FDB0C3D"/>
    <w:rsid w:val="5FE61094"/>
    <w:rsid w:val="5FF23595"/>
    <w:rsid w:val="60523013"/>
    <w:rsid w:val="606F4818"/>
    <w:rsid w:val="60C969EB"/>
    <w:rsid w:val="60F7337C"/>
    <w:rsid w:val="611C2D57"/>
    <w:rsid w:val="61A42FB4"/>
    <w:rsid w:val="623C4F9B"/>
    <w:rsid w:val="626E39BC"/>
    <w:rsid w:val="62F12229"/>
    <w:rsid w:val="63D06CC5"/>
    <w:rsid w:val="640D3093"/>
    <w:rsid w:val="649255FD"/>
    <w:rsid w:val="64CE1249"/>
    <w:rsid w:val="64DB4E5F"/>
    <w:rsid w:val="64E841AB"/>
    <w:rsid w:val="65B738D3"/>
    <w:rsid w:val="65D75E74"/>
    <w:rsid w:val="65DA31EA"/>
    <w:rsid w:val="65DF15F8"/>
    <w:rsid w:val="65FB1716"/>
    <w:rsid w:val="661F3ECA"/>
    <w:rsid w:val="663E515C"/>
    <w:rsid w:val="664A412A"/>
    <w:rsid w:val="66794A10"/>
    <w:rsid w:val="66B0563A"/>
    <w:rsid w:val="676C4538"/>
    <w:rsid w:val="6837444B"/>
    <w:rsid w:val="68701E42"/>
    <w:rsid w:val="68755967"/>
    <w:rsid w:val="690D3A73"/>
    <w:rsid w:val="6935500B"/>
    <w:rsid w:val="696379BF"/>
    <w:rsid w:val="696C7181"/>
    <w:rsid w:val="699F55F6"/>
    <w:rsid w:val="6A164E34"/>
    <w:rsid w:val="6A2C4D0C"/>
    <w:rsid w:val="6A854D95"/>
    <w:rsid w:val="6A942672"/>
    <w:rsid w:val="6B0D0A53"/>
    <w:rsid w:val="6B3B04E6"/>
    <w:rsid w:val="6BA44170"/>
    <w:rsid w:val="6C7517D5"/>
    <w:rsid w:val="6C937EAD"/>
    <w:rsid w:val="6CB87914"/>
    <w:rsid w:val="6CCD7110"/>
    <w:rsid w:val="6CD2157F"/>
    <w:rsid w:val="6CF83CB4"/>
    <w:rsid w:val="6CFA53FE"/>
    <w:rsid w:val="6D93623D"/>
    <w:rsid w:val="703956B7"/>
    <w:rsid w:val="704D516B"/>
    <w:rsid w:val="704F233D"/>
    <w:rsid w:val="705A45A6"/>
    <w:rsid w:val="706C041E"/>
    <w:rsid w:val="709223F1"/>
    <w:rsid w:val="70B73257"/>
    <w:rsid w:val="70CE2B42"/>
    <w:rsid w:val="70D250EC"/>
    <w:rsid w:val="710B4B8D"/>
    <w:rsid w:val="712D6D33"/>
    <w:rsid w:val="71DE349A"/>
    <w:rsid w:val="720E25EB"/>
    <w:rsid w:val="721D26F3"/>
    <w:rsid w:val="726A7902"/>
    <w:rsid w:val="728E1843"/>
    <w:rsid w:val="72F37330"/>
    <w:rsid w:val="73196D06"/>
    <w:rsid w:val="73586199"/>
    <w:rsid w:val="74736F42"/>
    <w:rsid w:val="74EE1889"/>
    <w:rsid w:val="75377F70"/>
    <w:rsid w:val="75664E30"/>
    <w:rsid w:val="75B36462"/>
    <w:rsid w:val="75D60E9A"/>
    <w:rsid w:val="761D41D0"/>
    <w:rsid w:val="7747404F"/>
    <w:rsid w:val="77752FD1"/>
    <w:rsid w:val="77B6699F"/>
    <w:rsid w:val="77BA2649"/>
    <w:rsid w:val="77E8342F"/>
    <w:rsid w:val="786C7F30"/>
    <w:rsid w:val="78FE2D8D"/>
    <w:rsid w:val="79636DBB"/>
    <w:rsid w:val="79DD3B34"/>
    <w:rsid w:val="79E6309A"/>
    <w:rsid w:val="7A0712B5"/>
    <w:rsid w:val="7A966CC4"/>
    <w:rsid w:val="7B0536B4"/>
    <w:rsid w:val="7B724699"/>
    <w:rsid w:val="7B922E67"/>
    <w:rsid w:val="7C5F1B5A"/>
    <w:rsid w:val="7C717949"/>
    <w:rsid w:val="7C8D66C7"/>
    <w:rsid w:val="7CA360C7"/>
    <w:rsid w:val="7D0E144C"/>
    <w:rsid w:val="7D48291D"/>
    <w:rsid w:val="7D8947EC"/>
    <w:rsid w:val="7DA57A41"/>
    <w:rsid w:val="7E265025"/>
    <w:rsid w:val="7E905F9E"/>
    <w:rsid w:val="7EBA3A0E"/>
    <w:rsid w:val="7EC03B92"/>
    <w:rsid w:val="7EC27586"/>
    <w:rsid w:val="7F6776A3"/>
    <w:rsid w:val="7F6D4413"/>
    <w:rsid w:val="7F8A164E"/>
    <w:rsid w:val="7FDE72B6"/>
    <w:rsid w:val="FD9F2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1"/>
    <w:pPr>
      <w:ind w:left="558"/>
      <w:jc w:val="center"/>
      <w:outlineLvl w:val="0"/>
    </w:pPr>
    <w:rPr>
      <w:rFonts w:ascii="微软雅黑" w:hAnsi="微软雅黑" w:eastAsia="微软雅黑" w:cs="微软雅黑"/>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rPr>
  </w:style>
  <w:style w:type="paragraph" w:styleId="4">
    <w:name w:val="annotation text"/>
    <w:basedOn w:val="1"/>
    <w:qFormat/>
    <w:uiPriority w:val="0"/>
    <w:pPr>
      <w:jc w:val="left"/>
    </w:pPr>
  </w:style>
  <w:style w:type="paragraph" w:styleId="5">
    <w:name w:val="Body Text Indent"/>
    <w:basedOn w:val="1"/>
    <w:qFormat/>
    <w:uiPriority w:val="99"/>
    <w:pPr>
      <w:spacing w:after="120"/>
      <w:ind w:left="420" w:leftChars="200"/>
    </w:pPr>
  </w:style>
  <w:style w:type="paragraph" w:styleId="6">
    <w:name w:val="Plain Text"/>
    <w:basedOn w:val="1"/>
    <w:next w:val="7"/>
    <w:qFormat/>
    <w:uiPriority w:val="0"/>
    <w:pPr>
      <w:jc w:val="left"/>
    </w:pPr>
    <w:rPr>
      <w:rFonts w:ascii="宋体" w:hAnsi="Courier New" w:eastAsia="宋体" w:cs="Arial"/>
      <w:kern w:val="0"/>
      <w:sz w:val="20"/>
    </w:rPr>
  </w:style>
  <w:style w:type="paragraph" w:styleId="7">
    <w:name w:val="index 9"/>
    <w:basedOn w:val="1"/>
    <w:next w:val="1"/>
    <w:qFormat/>
    <w:uiPriority w:val="0"/>
    <w:pPr>
      <w:ind w:left="3360"/>
    </w:pPr>
    <w:rPr>
      <w:rFonts w:ascii="Calibri" w:hAnsi="Calibri" w:eastAsia="宋体" w:cs="等线"/>
      <w:szCs w:val="21"/>
    </w:rPr>
  </w:style>
  <w:style w:type="paragraph" w:styleId="8">
    <w:name w:val="footer"/>
    <w:basedOn w:val="1"/>
    <w:unhideWhenUsed/>
    <w:qFormat/>
    <w:uiPriority w:val="99"/>
    <w:pPr>
      <w:tabs>
        <w:tab w:val="center" w:pos="4153"/>
        <w:tab w:val="right" w:pos="8306"/>
      </w:tabs>
      <w:snapToGrid w:val="0"/>
      <w:jc w:val="left"/>
    </w:pPr>
    <w:rPr>
      <w:sz w:val="18"/>
    </w:rPr>
  </w:style>
  <w:style w:type="paragraph" w:styleId="9">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widowControl w:val="0"/>
      <w:spacing w:beforeAutospacing="1" w:afterAutospacing="1"/>
    </w:pPr>
    <w:rPr>
      <w:rFonts w:ascii="Calibri" w:hAnsi="Calibri" w:eastAsia="宋体" w:cs="Times New Roman"/>
      <w:sz w:val="24"/>
      <w:szCs w:val="24"/>
      <w:lang w:val="en-US" w:eastAsia="zh-CN" w:bidi="ar-SA"/>
    </w:rPr>
  </w:style>
  <w:style w:type="paragraph" w:styleId="11">
    <w:name w:val="Title"/>
    <w:basedOn w:val="1"/>
    <w:next w:val="1"/>
    <w:qFormat/>
    <w:uiPriority w:val="0"/>
    <w:pPr>
      <w:spacing w:before="240" w:after="60"/>
      <w:jc w:val="center"/>
      <w:outlineLvl w:val="0"/>
    </w:pPr>
    <w:rPr>
      <w:rFonts w:ascii="Cambria" w:hAnsi="Cambria"/>
      <w:b/>
      <w:bCs/>
      <w:kern w:val="0"/>
      <w:sz w:val="32"/>
      <w:szCs w:val="32"/>
    </w:rPr>
  </w:style>
  <w:style w:type="paragraph" w:styleId="12">
    <w:name w:val="Body Text First Indent 2"/>
    <w:basedOn w:val="5"/>
    <w:qFormat/>
    <w:uiPriority w:val="99"/>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Emphasis"/>
    <w:basedOn w:val="15"/>
    <w:qFormat/>
    <w:uiPriority w:val="20"/>
    <w:rPr>
      <w:i/>
    </w:rPr>
  </w:style>
  <w:style w:type="character" w:styleId="17">
    <w:name w:val="Hyperlink"/>
    <w:basedOn w:val="15"/>
    <w:qFormat/>
    <w:uiPriority w:val="0"/>
    <w:rPr>
      <w:color w:val="338DE6"/>
      <w:u w:val="none"/>
    </w:rPr>
  </w:style>
  <w:style w:type="paragraph" w:styleId="18">
    <w:name w:val="List Paragraph"/>
    <w:basedOn w:val="1"/>
    <w:qFormat/>
    <w:uiPriority w:val="34"/>
    <w:pPr>
      <w:ind w:firstLine="420" w:firstLineChars="200"/>
    </w:pPr>
  </w:style>
  <w:style w:type="paragraph" w:customStyle="1" w:styleId="19">
    <w:name w:val="Table Text"/>
    <w:basedOn w:val="1"/>
    <w:semiHidden/>
    <w:qFormat/>
    <w:uiPriority w:val="0"/>
    <w:rPr>
      <w:rFonts w:ascii="微软雅黑" w:hAnsi="微软雅黑" w:eastAsia="微软雅黑" w:cs="微软雅黑"/>
      <w:sz w:val="21"/>
      <w:szCs w:val="21"/>
      <w:lang w:val="en-US" w:eastAsia="en-US" w:bidi="ar-SA"/>
    </w:rPr>
  </w:style>
  <w:style w:type="character" w:customStyle="1" w:styleId="20">
    <w:name w:val="unnamed11"/>
    <w:qFormat/>
    <w:uiPriority w:val="0"/>
    <w:rPr>
      <w:rFonts w:hint="eastAsia" w:ascii="宋体" w:hAnsi="宋体" w:eastAsia="宋体"/>
      <w:sz w:val="21"/>
      <w:szCs w:val="21"/>
    </w:rPr>
  </w:style>
  <w:style w:type="character" w:customStyle="1" w:styleId="21">
    <w:name w:val="font41"/>
    <w:qFormat/>
    <w:uiPriority w:val="0"/>
    <w:rPr>
      <w:rFonts w:hint="eastAsia" w:ascii="宋体" w:hAnsi="宋体" w:eastAsia="宋体" w:cs="宋体"/>
      <w:color w:val="000000"/>
      <w:sz w:val="22"/>
      <w:szCs w:val="22"/>
      <w:u w:val="none"/>
    </w:rPr>
  </w:style>
  <w:style w:type="paragraph" w:customStyle="1" w:styleId="22">
    <w:name w:val="正文部分 Char Char Char"/>
    <w:basedOn w:val="2"/>
    <w:next w:val="23"/>
    <w:qFormat/>
    <w:uiPriority w:val="0"/>
    <w:pPr>
      <w:adjustRightInd w:val="0"/>
      <w:spacing w:line="460" w:lineRule="exact"/>
      <w:textAlignment w:val="baseline"/>
    </w:pPr>
    <w:rPr>
      <w:rFonts w:hAnsi="Calibri"/>
      <w:sz w:val="24"/>
    </w:rPr>
  </w:style>
  <w:style w:type="paragraph" w:customStyle="1" w:styleId="23">
    <w:name w:val="章标题"/>
    <w:basedOn w:val="11"/>
    <w:qFormat/>
    <w:uiPriority w:val="0"/>
    <w:pPr>
      <w:spacing w:line="360" w:lineRule="auto"/>
    </w:pPr>
  </w:style>
  <w:style w:type="paragraph" w:customStyle="1" w:styleId="24">
    <w:name w:val="正文-公1"/>
    <w:basedOn w:val="1"/>
    <w:next w:val="1"/>
    <w:qFormat/>
    <w:uiPriority w:val="0"/>
    <w:pPr>
      <w:ind w:firstLine="200" w:firstLineChars="200"/>
      <w:jc w:val="left"/>
    </w:pPr>
    <w:rPr>
      <w:rFonts w:eastAsia="仿宋_GB2312"/>
    </w:rPr>
  </w:style>
  <w:style w:type="character" w:customStyle="1" w:styleId="25">
    <w:name w:val="font61"/>
    <w:basedOn w:val="15"/>
    <w:qFormat/>
    <w:uiPriority w:val="0"/>
    <w:rPr>
      <w:rFonts w:hint="eastAsia" w:ascii="仿宋_GB2312" w:eastAsia="仿宋_GB2312" w:cs="仿宋_GB2312"/>
      <w:color w:val="000000"/>
      <w:sz w:val="16"/>
      <w:szCs w:val="16"/>
      <w:u w:val="none"/>
    </w:rPr>
  </w:style>
  <w:style w:type="character" w:customStyle="1" w:styleId="26">
    <w:name w:val="font11"/>
    <w:basedOn w:val="15"/>
    <w:qFormat/>
    <w:uiPriority w:val="0"/>
    <w:rPr>
      <w:rFonts w:hint="eastAsia" w:ascii="仿宋_GB2312" w:eastAsia="仿宋_GB2312" w:cs="仿宋_GB2312"/>
      <w:color w:val="000000"/>
      <w:sz w:val="16"/>
      <w:szCs w:val="16"/>
      <w:u w:val="none"/>
    </w:rPr>
  </w:style>
  <w:style w:type="character" w:customStyle="1" w:styleId="27">
    <w:name w:val="NormalCharacter"/>
    <w:qFormat/>
    <w:uiPriority w:val="0"/>
  </w:style>
  <w:style w:type="character" w:customStyle="1" w:styleId="28">
    <w:name w:val="font31"/>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160</Pages>
  <Words>1045</Words>
  <Characters>1089</Characters>
  <Lines>20</Lines>
  <Paragraphs>5</Paragraphs>
  <TotalTime>8</TotalTime>
  <ScaleCrop>false</ScaleCrop>
  <LinksUpToDate>false</LinksUpToDate>
  <CharactersWithSpaces>1137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2023-09-02T18:12:00Z</dcterms:created>
  <dc:creator>759551140@qq.com</dc:creator>
  <cp:lastModifiedBy>大齐</cp:lastModifiedBy>
  <cp:lastPrinted>2024-10-10T02:33:00Z</cp:lastPrinted>
  <dcterms:modified xsi:type="dcterms:W3CDTF">2025-04-29T10:53:38Z</dcterms:modified>
  <dc:title>关于报送水行政执法标准化试点建设</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8C5AAA9C9A0F4FE28D31EBD0B72E24A9_13</vt:lpwstr>
  </property>
</Properties>
</file>